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4E0EF933" w:rsidR="00E23DF5" w:rsidRPr="00302A7B"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302A7B">
        <w:rPr>
          <w:rFonts w:cs="Arial"/>
          <w:b/>
          <w:sz w:val="22"/>
          <w:lang w:val="en-US"/>
        </w:rPr>
        <w:t>3GPP TSG-RAN WG2 #</w:t>
      </w:r>
      <w:r w:rsidR="00A1374E" w:rsidRPr="00302A7B">
        <w:rPr>
          <w:rFonts w:cs="Arial"/>
          <w:b/>
          <w:sz w:val="22"/>
          <w:lang w:val="en-US"/>
        </w:rPr>
        <w:t>12</w:t>
      </w:r>
      <w:r w:rsidR="00816258" w:rsidRPr="00302A7B">
        <w:rPr>
          <w:rFonts w:cs="Arial"/>
          <w:b/>
          <w:sz w:val="22"/>
          <w:lang w:val="en-US"/>
        </w:rPr>
        <w:t>5</w:t>
      </w:r>
      <w:r w:rsidRPr="00302A7B">
        <w:rPr>
          <w:rFonts w:cs="Arial"/>
          <w:b/>
          <w:i/>
          <w:sz w:val="22"/>
          <w:lang w:val="en-US"/>
        </w:rPr>
        <w:tab/>
      </w:r>
      <w:r w:rsidR="002F18FC" w:rsidRPr="00302A7B">
        <w:rPr>
          <w:rFonts w:cs="Arial"/>
          <w:b/>
          <w:i/>
          <w:sz w:val="22"/>
          <w:lang w:val="en-US" w:eastAsia="zh-CN"/>
        </w:rPr>
        <w:t>R2-</w:t>
      </w:r>
      <w:r w:rsidR="00816258" w:rsidRPr="00302A7B">
        <w:rPr>
          <w:rFonts w:cs="Arial"/>
          <w:b/>
          <w:i/>
          <w:sz w:val="22"/>
          <w:lang w:val="en-US" w:eastAsia="zh-CN"/>
        </w:rPr>
        <w:t>240233</w:t>
      </w:r>
    </w:p>
    <w:p w14:paraId="3F17F203" w14:textId="23B97E01" w:rsidR="00FB3C9D" w:rsidRPr="00302A7B" w:rsidRDefault="00816258">
      <w:pPr>
        <w:tabs>
          <w:tab w:val="left" w:pos="1701"/>
          <w:tab w:val="right" w:pos="9639"/>
        </w:tabs>
        <w:spacing w:after="0"/>
        <w:rPr>
          <w:rFonts w:cs="Arial"/>
          <w:b/>
          <w:color w:val="000000"/>
          <w:sz w:val="24"/>
        </w:rPr>
      </w:pPr>
      <w:r w:rsidRPr="00302A7B">
        <w:rPr>
          <w:rFonts w:cs="Arial" w:hint="eastAsia"/>
          <w:b/>
          <w:sz w:val="22"/>
          <w:lang w:val="en-US"/>
        </w:rPr>
        <w:t>Athens</w:t>
      </w:r>
      <w:r w:rsidR="00D54782" w:rsidRPr="00302A7B">
        <w:rPr>
          <w:rFonts w:cs="Arial"/>
          <w:b/>
          <w:sz w:val="22"/>
          <w:lang w:val="en-US"/>
        </w:rPr>
        <w:t xml:space="preserve">, </w:t>
      </w:r>
      <w:r w:rsidRPr="00302A7B">
        <w:rPr>
          <w:rFonts w:cs="Arial"/>
          <w:b/>
          <w:sz w:val="22"/>
          <w:lang w:val="en-US"/>
        </w:rPr>
        <w:t>Greece,</w:t>
      </w:r>
      <w:r w:rsidR="00D54782" w:rsidRPr="00302A7B">
        <w:rPr>
          <w:rFonts w:cs="Arial"/>
          <w:b/>
          <w:sz w:val="22"/>
          <w:lang w:val="en-US"/>
        </w:rPr>
        <w:t xml:space="preserve"> </w:t>
      </w:r>
      <w:r w:rsidR="00302A7B" w:rsidRPr="00302A7B">
        <w:rPr>
          <w:rFonts w:cs="Arial"/>
          <w:b/>
          <w:sz w:val="22"/>
          <w:lang w:val="en-US"/>
        </w:rPr>
        <w:t>February</w:t>
      </w:r>
      <w:r w:rsidR="00A1374E" w:rsidRPr="00302A7B" w:rsidDel="00A1374E">
        <w:rPr>
          <w:rFonts w:cs="Arial"/>
          <w:b/>
          <w:sz w:val="22"/>
          <w:lang w:val="en-US"/>
        </w:rPr>
        <w:t xml:space="preserve"> </w:t>
      </w:r>
      <w:r w:rsidR="00E23DF5" w:rsidRPr="00302A7B">
        <w:rPr>
          <w:rFonts w:cs="Arial"/>
          <w:b/>
          <w:sz w:val="22"/>
          <w:lang w:val="en-US"/>
        </w:rPr>
        <w:t>202</w:t>
      </w:r>
      <w:bookmarkEnd w:id="0"/>
      <w:bookmarkEnd w:id="1"/>
      <w:bookmarkEnd w:id="2"/>
      <w:bookmarkEnd w:id="3"/>
      <w:r w:rsidRPr="00302A7B">
        <w:rPr>
          <w:rFonts w:cs="Arial"/>
          <w:b/>
          <w:sz w:val="22"/>
          <w:lang w:val="en-US"/>
        </w:rPr>
        <w:t>4</w:t>
      </w:r>
    </w:p>
    <w:p w14:paraId="14AC234D" w14:textId="77777777" w:rsidR="00FB3C9D" w:rsidRPr="00302A7B" w:rsidRDefault="00FB3C9D">
      <w:pPr>
        <w:tabs>
          <w:tab w:val="left" w:pos="1701"/>
          <w:tab w:val="right" w:pos="9639"/>
        </w:tabs>
        <w:spacing w:before="100" w:beforeAutospacing="1" w:after="100" w:afterAutospacing="1"/>
        <w:rPr>
          <w:rFonts w:cs="Arial"/>
          <w:b/>
          <w:color w:val="000000"/>
          <w:sz w:val="24"/>
        </w:rPr>
      </w:pPr>
    </w:p>
    <w:p w14:paraId="2AD2FC05" w14:textId="3B57C7E5" w:rsidR="00FB3C9D" w:rsidRDefault="003D1DDD">
      <w:pPr>
        <w:pStyle w:val="3GPPHeader"/>
        <w:rPr>
          <w:sz w:val="22"/>
        </w:rPr>
      </w:pPr>
      <w:r w:rsidRPr="00302A7B">
        <w:rPr>
          <w:sz w:val="22"/>
        </w:rPr>
        <w:t>Agenda Item:</w:t>
      </w:r>
      <w:r w:rsidRPr="00302A7B">
        <w:rPr>
          <w:sz w:val="22"/>
        </w:rPr>
        <w:tab/>
      </w:r>
      <w:r w:rsidR="001E403A" w:rsidRPr="00302A7B">
        <w:rPr>
          <w:sz w:val="22"/>
        </w:rPr>
        <w:t>7</w:t>
      </w:r>
      <w:r w:rsidR="00E31D0E" w:rsidRPr="00302A7B">
        <w:rPr>
          <w:sz w:val="22"/>
        </w:rPr>
        <w:t>.</w:t>
      </w:r>
      <w:r w:rsidR="005E411B" w:rsidRPr="00302A7B">
        <w:rPr>
          <w:sz w:val="22"/>
        </w:rPr>
        <w:t>15</w:t>
      </w:r>
      <w:r w:rsidR="00E31D0E" w:rsidRPr="00302A7B">
        <w:rPr>
          <w:sz w:val="22"/>
        </w:rPr>
        <w:t>.</w:t>
      </w:r>
      <w:r w:rsidR="00303D65" w:rsidRPr="00302A7B">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7F56B4E" w:rsidR="00FB3C9D" w:rsidRDefault="003D1DDD">
      <w:pPr>
        <w:pStyle w:val="3GPPHeader"/>
        <w:rPr>
          <w:sz w:val="22"/>
        </w:rPr>
      </w:pPr>
      <w:r>
        <w:rPr>
          <w:sz w:val="22"/>
        </w:rPr>
        <w:t>Title:</w:t>
      </w:r>
      <w:r>
        <w:rPr>
          <w:sz w:val="22"/>
        </w:rPr>
        <w:tab/>
      </w:r>
      <w:r w:rsidR="00F518BE">
        <w:rPr>
          <w:sz w:val="22"/>
        </w:rPr>
        <w:t>Discussion on Use-Case for SL-U</w:t>
      </w:r>
      <w:r w:rsidR="00EB677D">
        <w:rPr>
          <w:sz w:val="22"/>
        </w:rPr>
        <w:t xml:space="preserve"> and SL-CA</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67ADC73E" w:rsidR="00041594" w:rsidRDefault="003D1DDD" w:rsidP="00E54656">
      <w:pPr>
        <w:rPr>
          <w:lang w:eastAsia="ko-KR"/>
        </w:rPr>
      </w:pPr>
      <w:r>
        <w:rPr>
          <w:lang w:eastAsia="ko-KR"/>
        </w:rPr>
        <w:t xml:space="preserve">This paper </w:t>
      </w:r>
      <w:r w:rsidR="002D533B">
        <w:rPr>
          <w:lang w:eastAsia="ko-KR"/>
        </w:rPr>
        <w:t xml:space="preserve">is to discuss </w:t>
      </w:r>
      <w:r w:rsidR="00341D70">
        <w:rPr>
          <w:lang w:eastAsia="ko-KR"/>
        </w:rPr>
        <w:t xml:space="preserve">the </w:t>
      </w:r>
      <w:r w:rsidR="00393043">
        <w:rPr>
          <w:lang w:eastAsia="ko-KR"/>
        </w:rPr>
        <w:t>use-case for SL-U</w:t>
      </w:r>
      <w:r w:rsidR="00EB677D">
        <w:rPr>
          <w:lang w:eastAsia="ko-KR"/>
        </w:rPr>
        <w:t xml:space="preserve"> and SL-CA</w:t>
      </w:r>
      <w:r>
        <w:rPr>
          <w:lang w:eastAsia="ko-KR"/>
        </w:rPr>
        <w:t xml:space="preserve">. </w:t>
      </w:r>
      <w:bookmarkEnd w:id="5"/>
    </w:p>
    <w:p w14:paraId="79383F6A" w14:textId="7E557D07" w:rsidR="00AE7615" w:rsidRDefault="00944745" w:rsidP="009379EB">
      <w:pPr>
        <w:pStyle w:val="1"/>
      </w:pPr>
      <w:bookmarkStart w:id="6" w:name="_Toc114214864"/>
      <w:bookmarkStart w:id="7" w:name="_Toc114245162"/>
      <w:bookmarkStart w:id="8" w:name="_Toc126008719"/>
      <w:bookmarkEnd w:id="6"/>
      <w:bookmarkEnd w:id="7"/>
      <w:bookmarkEnd w:id="8"/>
      <w:r>
        <w:t>Discussion</w:t>
      </w:r>
    </w:p>
    <w:p w14:paraId="5680F5E3" w14:textId="1E8E2EBD" w:rsidR="00393043" w:rsidRDefault="0054625A" w:rsidP="00393043">
      <w:r>
        <w:t>Based on</w:t>
      </w:r>
      <w:r w:rsidR="00393043">
        <w:t xml:space="preserve"> the WID, </w:t>
      </w:r>
    </w:p>
    <w:p w14:paraId="4CB4D5C5" w14:textId="77777777" w:rsidR="0054625A" w:rsidRPr="0054625A" w:rsidRDefault="0054625A" w:rsidP="0054625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before="120"/>
        <w:jc w:val="left"/>
        <w:textAlignment w:val="baseline"/>
        <w:rPr>
          <w:rFonts w:ascii="Times" w:eastAsia="Batang" w:hAnsi="Times" w:cs="Times"/>
          <w:iCs/>
          <w:szCs w:val="20"/>
          <w:lang w:eastAsia="en-GB"/>
        </w:rPr>
      </w:pPr>
      <w:r w:rsidRPr="0054625A">
        <w:rPr>
          <w:rFonts w:ascii="Times" w:eastAsia="Batang" w:hAnsi="Times" w:cs="Times"/>
          <w:iCs/>
          <w:szCs w:val="20"/>
          <w:lang w:eastAsia="en-GB"/>
        </w:rPr>
        <w:t xml:space="preserve">Although NR sidelink was initially developed for V2X applications, there is growing interest in the industry to expand the applicability of NR sidelink to </w:t>
      </w:r>
      <w:r w:rsidRPr="0054625A">
        <w:rPr>
          <w:rFonts w:ascii="Times" w:eastAsia="Batang" w:hAnsi="Times" w:cs="Times"/>
          <w:iCs/>
          <w:szCs w:val="20"/>
          <w:highlight w:val="yellow"/>
          <w:lang w:eastAsia="en-GB"/>
        </w:rPr>
        <w:t>commercial use cases</w:t>
      </w:r>
      <w:r w:rsidRPr="0054625A">
        <w:rPr>
          <w:rFonts w:ascii="Times" w:eastAsia="Batang" w:hAnsi="Times" w:cs="Times"/>
          <w:iCs/>
          <w:szCs w:val="20"/>
          <w:lang w:eastAsia="en-GB"/>
        </w:rPr>
        <w:t xml:space="preserve">. For </w:t>
      </w:r>
      <w:r w:rsidRPr="0054625A">
        <w:rPr>
          <w:rFonts w:ascii="Times" w:eastAsia="Batang" w:hAnsi="Times" w:cs="Times"/>
          <w:iCs/>
          <w:szCs w:val="20"/>
          <w:highlight w:val="yellow"/>
          <w:lang w:eastAsia="en-GB"/>
        </w:rPr>
        <w:t>commercial sidelink applications</w:t>
      </w:r>
      <w:r w:rsidRPr="0054625A">
        <w:rPr>
          <w:rFonts w:ascii="Times" w:eastAsia="Batang" w:hAnsi="Times" w:cs="Times"/>
          <w:iCs/>
          <w:szCs w:val="20"/>
          <w:lang w:eastAsia="en-GB"/>
        </w:rPr>
        <w:t>, two key requirements have been identified:</w:t>
      </w:r>
    </w:p>
    <w:p w14:paraId="5079CBF2" w14:textId="77777777" w:rsidR="0054625A" w:rsidRPr="0054625A" w:rsidRDefault="0054625A" w:rsidP="0054625A">
      <w:pPr>
        <w:numPr>
          <w:ilvl w:val="0"/>
          <w:numId w:val="32"/>
        </w:numPr>
        <w:pBdr>
          <w:top w:val="single" w:sz="4" w:space="1" w:color="auto"/>
          <w:left w:val="single" w:sz="4" w:space="4" w:color="auto"/>
          <w:bottom w:val="single" w:sz="4" w:space="1" w:color="auto"/>
          <w:right w:val="single" w:sz="4" w:space="4" w:color="auto"/>
          <w:between w:val="none" w:sz="0" w:space="0" w:color="auto"/>
        </w:pBdr>
        <w:wordWrap w:val="0"/>
        <w:overflowPunct w:val="0"/>
        <w:autoSpaceDE w:val="0"/>
        <w:autoSpaceDN w:val="0"/>
        <w:adjustRightInd w:val="0"/>
        <w:spacing w:before="60" w:after="60"/>
        <w:ind w:left="357" w:hanging="357"/>
        <w:contextualSpacing/>
        <w:jc w:val="left"/>
        <w:textAlignment w:val="baseline"/>
        <w:rPr>
          <w:rFonts w:ascii="Times" w:eastAsia="Batang" w:hAnsi="Times" w:cs="Times"/>
          <w:szCs w:val="20"/>
          <w:lang w:eastAsia="en-GB"/>
        </w:rPr>
      </w:pPr>
      <w:r w:rsidRPr="0054625A">
        <w:rPr>
          <w:rFonts w:ascii="Times" w:eastAsia="Batang" w:hAnsi="Times" w:cs="Times"/>
          <w:szCs w:val="20"/>
          <w:lang w:eastAsia="en-GB"/>
        </w:rPr>
        <w:t xml:space="preserve">Increased sidelink data rate </w:t>
      </w:r>
    </w:p>
    <w:p w14:paraId="6B91D389" w14:textId="77777777" w:rsidR="0054625A" w:rsidRPr="0054625A" w:rsidRDefault="0054625A" w:rsidP="0054625A">
      <w:pPr>
        <w:numPr>
          <w:ilvl w:val="0"/>
          <w:numId w:val="32"/>
        </w:numPr>
        <w:pBdr>
          <w:top w:val="single" w:sz="4" w:space="1" w:color="auto"/>
          <w:left w:val="single" w:sz="4" w:space="4" w:color="auto"/>
          <w:bottom w:val="single" w:sz="4" w:space="1" w:color="auto"/>
          <w:right w:val="single" w:sz="4" w:space="4" w:color="auto"/>
          <w:between w:val="none" w:sz="0" w:space="0" w:color="auto"/>
        </w:pBdr>
        <w:wordWrap w:val="0"/>
        <w:overflowPunct w:val="0"/>
        <w:autoSpaceDE w:val="0"/>
        <w:autoSpaceDN w:val="0"/>
        <w:adjustRightInd w:val="0"/>
        <w:spacing w:before="60" w:after="60"/>
        <w:ind w:left="357" w:hanging="357"/>
        <w:contextualSpacing/>
        <w:jc w:val="left"/>
        <w:textAlignment w:val="baseline"/>
        <w:rPr>
          <w:rFonts w:ascii="Times" w:eastAsia="Batang" w:hAnsi="Times" w:cs="Times"/>
          <w:szCs w:val="20"/>
          <w:lang w:eastAsia="en-GB"/>
        </w:rPr>
      </w:pPr>
      <w:r w:rsidRPr="0054625A">
        <w:rPr>
          <w:rFonts w:ascii="Times" w:eastAsia="Batang" w:hAnsi="Times" w:cs="Times"/>
          <w:szCs w:val="20"/>
          <w:lang w:eastAsia="en-GB"/>
        </w:rPr>
        <w:t>Support of new carrier frequencies for sidelink</w:t>
      </w:r>
    </w:p>
    <w:p w14:paraId="546D19B1" w14:textId="77777777" w:rsidR="0054625A" w:rsidRPr="0054625A" w:rsidRDefault="0054625A" w:rsidP="0054625A">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before="120"/>
        <w:jc w:val="left"/>
        <w:textAlignment w:val="baseline"/>
        <w:rPr>
          <w:rFonts w:ascii="Times" w:eastAsia="Batang" w:hAnsi="Times" w:cs="Times"/>
          <w:iCs/>
          <w:szCs w:val="20"/>
          <w:lang w:eastAsia="en-GB"/>
        </w:rPr>
      </w:pPr>
      <w:r w:rsidRPr="0054625A">
        <w:rPr>
          <w:rFonts w:ascii="Times" w:eastAsia="Batang" w:hAnsi="Times" w:cs="Times"/>
          <w:iCs/>
          <w:szCs w:val="20"/>
          <w:lang w:eastAsia="en-GB"/>
        </w:rPr>
        <w:t xml:space="preserve">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w:t>
      </w:r>
      <w:r w:rsidRPr="0054625A">
        <w:rPr>
          <w:rFonts w:ascii="Times" w:eastAsia="Batang" w:hAnsi="Times" w:cs="Times"/>
          <w:iCs/>
          <w:szCs w:val="20"/>
          <w:highlight w:val="yellow"/>
          <w:lang w:eastAsia="en-GB"/>
        </w:rPr>
        <w:t>unlicensed</w:t>
      </w:r>
      <w:r w:rsidRPr="0054625A">
        <w:rPr>
          <w:rFonts w:ascii="Times" w:eastAsia="Batang" w:hAnsi="Times" w:cs="Times"/>
          <w:iCs/>
          <w:szCs w:val="20"/>
          <w:lang w:eastAsia="en-GB"/>
        </w:rPr>
        <w:t xml:space="preserve">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w:t>
      </w:r>
      <w:r w:rsidRPr="0054625A">
        <w:rPr>
          <w:rFonts w:ascii="Times" w:eastAsia="Batang" w:hAnsi="Times" w:cs="Times"/>
          <w:iCs/>
          <w:szCs w:val="20"/>
          <w:highlight w:val="yellow"/>
          <w:lang w:eastAsia="en-GB"/>
        </w:rPr>
        <w:t>unlicensed spectrum</w:t>
      </w:r>
      <w:r w:rsidRPr="0054625A">
        <w:rPr>
          <w:rFonts w:ascii="Times" w:eastAsia="Batang" w:hAnsi="Times" w:cs="Times"/>
          <w:iCs/>
          <w:szCs w:val="20"/>
          <w:lang w:eastAsia="en-GB"/>
        </w:rPr>
        <w:t xml:space="preserve"> and the enhancement in FR2, sidelink will be in a better position to be implemented in </w:t>
      </w:r>
      <w:r w:rsidRPr="0054625A">
        <w:rPr>
          <w:rFonts w:ascii="Times" w:eastAsia="Batang" w:hAnsi="Times" w:cs="Times"/>
          <w:iCs/>
          <w:szCs w:val="20"/>
          <w:highlight w:val="yellow"/>
          <w:lang w:eastAsia="en-GB"/>
        </w:rPr>
        <w:t>commercial</w:t>
      </w:r>
      <w:r w:rsidRPr="0054625A">
        <w:rPr>
          <w:rFonts w:ascii="Times" w:eastAsia="Batang" w:hAnsi="Times" w:cs="Times"/>
          <w:iCs/>
          <w:szCs w:val="20"/>
          <w:lang w:eastAsia="en-GB"/>
        </w:rPr>
        <w:t xml:space="preserve"> devices since utilization of the ITS band is limited to ITS safety related applications.</w:t>
      </w:r>
    </w:p>
    <w:p w14:paraId="34922F8C" w14:textId="3BDC6D29" w:rsidR="0054625A" w:rsidRDefault="0054625A" w:rsidP="00393043">
      <w:r>
        <w:rPr>
          <w:rFonts w:hint="eastAsia"/>
        </w:rPr>
        <w:t>I</w:t>
      </w:r>
      <w:r>
        <w:t xml:space="preserve">t is clear that the use-case for SL-U is for </w:t>
      </w:r>
      <w:r w:rsidRPr="0054625A">
        <w:rPr>
          <w:b/>
          <w:bCs/>
        </w:rPr>
        <w:t>commercial</w:t>
      </w:r>
      <w:r>
        <w:t xml:space="preserve"> use case. </w:t>
      </w:r>
      <w:r>
        <w:rPr>
          <w:rFonts w:hint="eastAsia"/>
        </w:rPr>
        <w:t>F</w:t>
      </w:r>
      <w:r>
        <w:t xml:space="preserve">or sidelink, so far two types of use cases have been specified in SA side, i.e., ProSe and V2X, </w:t>
      </w:r>
      <w:r w:rsidR="007F2142">
        <w:t xml:space="preserve">so it is clear that ProSe is the target use case for SL-U. </w:t>
      </w:r>
    </w:p>
    <w:p w14:paraId="54140489" w14:textId="30F7EAFC" w:rsidR="007F2142" w:rsidRDefault="007F2142" w:rsidP="008568A7">
      <w:pPr>
        <w:pStyle w:val="Observation"/>
        <w:ind w:left="1701" w:hanging="1701"/>
      </w:pPr>
      <w:r>
        <w:rPr>
          <w:rFonts w:hint="eastAsia"/>
        </w:rPr>
        <w:t>R</w:t>
      </w:r>
      <w:r>
        <w:t xml:space="preserve">18 SL-Evo WID clarified that ProSe is the use case for SL-U. </w:t>
      </w:r>
    </w:p>
    <w:p w14:paraId="0C5B7700" w14:textId="072E156A" w:rsidR="007F2142" w:rsidRDefault="00EB677D" w:rsidP="00393043">
      <w:r>
        <w:t>While if we check R18 Spec, e.g., in MAC</w:t>
      </w:r>
    </w:p>
    <w:p w14:paraId="12C93802"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1&gt;</w:t>
      </w:r>
      <w:r w:rsidRPr="00EB677D">
        <w:rPr>
          <w:rFonts w:ascii="Times New Roman" w:eastAsia="Malgun Gothic" w:hAnsi="Times New Roman"/>
          <w:szCs w:val="20"/>
          <w:lang w:eastAsia="ko-KR"/>
        </w:rPr>
        <w:tab/>
        <w:t xml:space="preserve">if </w:t>
      </w:r>
      <w:proofErr w:type="spellStart"/>
      <w:r w:rsidRPr="00EB677D">
        <w:rPr>
          <w:rFonts w:ascii="Times New Roman" w:eastAsia="Malgun Gothic" w:hAnsi="Times New Roman"/>
          <w:i/>
          <w:szCs w:val="20"/>
          <w:lang w:eastAsia="ko-KR"/>
        </w:rPr>
        <w:t>sl</w:t>
      </w:r>
      <w:proofErr w:type="spellEnd"/>
      <w:r w:rsidRPr="00EB677D">
        <w:rPr>
          <w:rFonts w:ascii="Times New Roman" w:eastAsia="Malgun Gothic" w:hAnsi="Times New Roman"/>
          <w:i/>
          <w:szCs w:val="20"/>
          <w:lang w:eastAsia="ko-KR"/>
        </w:rPr>
        <w:t>-BWP-</w:t>
      </w:r>
      <w:proofErr w:type="spellStart"/>
      <w:r w:rsidRPr="00EB677D">
        <w:rPr>
          <w:rFonts w:ascii="Times New Roman" w:eastAsia="Malgun Gothic" w:hAnsi="Times New Roman"/>
          <w:i/>
          <w:szCs w:val="20"/>
          <w:lang w:eastAsia="ko-KR"/>
        </w:rPr>
        <w:t>DiscPoolConfig</w:t>
      </w:r>
      <w:proofErr w:type="spellEnd"/>
      <w:r w:rsidRPr="00EB677D">
        <w:rPr>
          <w:rFonts w:ascii="Times New Roman" w:eastAsia="Malgun Gothic" w:hAnsi="Times New Roman"/>
          <w:szCs w:val="20"/>
          <w:lang w:eastAsia="ko-KR"/>
        </w:rPr>
        <w:t xml:space="preserve"> or </w:t>
      </w:r>
      <w:proofErr w:type="spellStart"/>
      <w:r w:rsidRPr="00EB677D">
        <w:rPr>
          <w:rFonts w:ascii="Times New Roman" w:eastAsia="Malgun Gothic" w:hAnsi="Times New Roman"/>
          <w:i/>
          <w:iCs/>
          <w:szCs w:val="20"/>
          <w:lang w:eastAsia="ko-KR"/>
        </w:rPr>
        <w:t>sl</w:t>
      </w:r>
      <w:proofErr w:type="spellEnd"/>
      <w:r w:rsidRPr="00EB677D">
        <w:rPr>
          <w:rFonts w:ascii="Times New Roman" w:eastAsia="Malgun Gothic" w:hAnsi="Times New Roman"/>
          <w:i/>
          <w:iCs/>
          <w:szCs w:val="20"/>
          <w:lang w:eastAsia="ko-KR"/>
        </w:rPr>
        <w:t>-BWP-</w:t>
      </w:r>
      <w:proofErr w:type="spellStart"/>
      <w:r w:rsidRPr="00EB677D">
        <w:rPr>
          <w:rFonts w:ascii="Times New Roman" w:eastAsia="Malgun Gothic" w:hAnsi="Times New Roman"/>
          <w:i/>
          <w:iCs/>
          <w:szCs w:val="20"/>
          <w:lang w:eastAsia="ko-KR"/>
        </w:rPr>
        <w:t>DiscPoolConfigCommon</w:t>
      </w:r>
      <w:proofErr w:type="spellEnd"/>
      <w:r w:rsidRPr="00EB677D">
        <w:rPr>
          <w:rFonts w:ascii="Times New Roman" w:eastAsia="Malgun Gothic" w:hAnsi="Times New Roman"/>
          <w:szCs w:val="20"/>
          <w:lang w:eastAsia="ko-KR"/>
        </w:rPr>
        <w:t xml:space="preserve"> is configured according to TS 38.331 [5]:</w:t>
      </w:r>
    </w:p>
    <w:p w14:paraId="4C766AA2"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2&gt;</w:t>
      </w:r>
      <w:r w:rsidRPr="00EB677D">
        <w:rPr>
          <w:rFonts w:ascii="Times New Roman" w:eastAsia="Malgun Gothic" w:hAnsi="Times New Roman"/>
          <w:szCs w:val="20"/>
          <w:lang w:eastAsia="ko-KR"/>
        </w:rPr>
        <w:tab/>
        <w:t xml:space="preserve">if the new transmission is associated to a </w:t>
      </w:r>
      <w:proofErr w:type="spellStart"/>
      <w:r w:rsidRPr="00EB677D">
        <w:rPr>
          <w:rFonts w:ascii="Times New Roman" w:eastAsia="Malgun Gothic" w:hAnsi="Times New Roman"/>
          <w:szCs w:val="20"/>
          <w:lang w:eastAsia="ko-KR"/>
        </w:rPr>
        <w:t>sidelink</w:t>
      </w:r>
      <w:proofErr w:type="spellEnd"/>
      <w:r w:rsidRPr="00EB677D">
        <w:rPr>
          <w:rFonts w:ascii="Times New Roman" w:eastAsia="Malgun Gothic" w:hAnsi="Times New Roman"/>
          <w:szCs w:val="20"/>
          <w:lang w:eastAsia="ko-KR"/>
        </w:rPr>
        <w:t xml:space="preserve"> grant in </w:t>
      </w:r>
      <w:proofErr w:type="spellStart"/>
      <w:r w:rsidRPr="00EB677D">
        <w:rPr>
          <w:rFonts w:ascii="Times New Roman" w:eastAsia="Malgun Gothic" w:hAnsi="Times New Roman"/>
          <w:i/>
          <w:szCs w:val="20"/>
          <w:lang w:eastAsia="en-US"/>
        </w:rPr>
        <w:t>sl-DiscTxPoolSelected</w:t>
      </w:r>
      <w:proofErr w:type="spellEnd"/>
      <w:r w:rsidRPr="00EB677D">
        <w:rPr>
          <w:rFonts w:ascii="Times New Roman" w:eastAsia="Malgun Gothic" w:hAnsi="Times New Roman"/>
          <w:iCs/>
          <w:szCs w:val="20"/>
          <w:lang w:eastAsia="en-US"/>
        </w:rPr>
        <w:t xml:space="preserve"> or </w:t>
      </w:r>
      <w:proofErr w:type="spellStart"/>
      <w:r w:rsidRPr="00EB677D">
        <w:rPr>
          <w:rFonts w:ascii="Times New Roman" w:eastAsia="Malgun Gothic" w:hAnsi="Times New Roman"/>
          <w:i/>
          <w:iCs/>
          <w:szCs w:val="20"/>
          <w:lang w:eastAsia="en-US"/>
        </w:rPr>
        <w:t>sl-DiscTxPoolScheduling</w:t>
      </w:r>
      <w:proofErr w:type="spellEnd"/>
      <w:r w:rsidRPr="00EB677D">
        <w:rPr>
          <w:rFonts w:ascii="Times New Roman" w:eastAsia="Malgun Gothic" w:hAnsi="Times New Roman"/>
          <w:szCs w:val="20"/>
          <w:lang w:eastAsia="en-US"/>
        </w:rPr>
        <w:t xml:space="preserve"> configured in </w:t>
      </w:r>
      <w:proofErr w:type="spellStart"/>
      <w:r w:rsidRPr="00EB677D">
        <w:rPr>
          <w:rFonts w:ascii="Times New Roman" w:eastAsia="Malgun Gothic" w:hAnsi="Times New Roman"/>
          <w:i/>
          <w:iCs/>
          <w:szCs w:val="20"/>
          <w:lang w:eastAsia="en-US"/>
        </w:rPr>
        <w:t>sl</w:t>
      </w:r>
      <w:proofErr w:type="spellEnd"/>
      <w:r w:rsidRPr="00EB677D">
        <w:rPr>
          <w:rFonts w:ascii="Times New Roman" w:eastAsia="Malgun Gothic" w:hAnsi="Times New Roman"/>
          <w:i/>
          <w:iCs/>
          <w:szCs w:val="20"/>
          <w:lang w:eastAsia="en-US"/>
        </w:rPr>
        <w:t>-BWP-</w:t>
      </w:r>
      <w:proofErr w:type="spellStart"/>
      <w:r w:rsidRPr="00EB677D">
        <w:rPr>
          <w:rFonts w:ascii="Times New Roman" w:eastAsia="Malgun Gothic" w:hAnsi="Times New Roman"/>
          <w:i/>
          <w:iCs/>
          <w:szCs w:val="20"/>
          <w:lang w:eastAsia="en-US"/>
        </w:rPr>
        <w:t>DiscPoolConfig</w:t>
      </w:r>
      <w:proofErr w:type="spellEnd"/>
      <w:r w:rsidRPr="00EB677D">
        <w:rPr>
          <w:rFonts w:ascii="Times New Roman" w:eastAsia="Malgun Gothic" w:hAnsi="Times New Roman"/>
          <w:szCs w:val="20"/>
          <w:lang w:eastAsia="en-US"/>
        </w:rPr>
        <w:t xml:space="preserve"> or </w:t>
      </w:r>
      <w:proofErr w:type="spellStart"/>
      <w:r w:rsidRPr="00EB677D">
        <w:rPr>
          <w:rFonts w:ascii="Times New Roman" w:eastAsia="Malgun Gothic" w:hAnsi="Times New Roman"/>
          <w:i/>
          <w:szCs w:val="20"/>
          <w:lang w:eastAsia="en-US"/>
        </w:rPr>
        <w:t>sl</w:t>
      </w:r>
      <w:proofErr w:type="spellEnd"/>
      <w:r w:rsidRPr="00EB677D">
        <w:rPr>
          <w:rFonts w:ascii="Times New Roman" w:eastAsia="Malgun Gothic" w:hAnsi="Times New Roman"/>
          <w:i/>
          <w:szCs w:val="20"/>
          <w:lang w:eastAsia="en-US"/>
        </w:rPr>
        <w:t>-BWP-</w:t>
      </w:r>
      <w:proofErr w:type="spellStart"/>
      <w:r w:rsidRPr="00EB677D">
        <w:rPr>
          <w:rFonts w:ascii="Times New Roman" w:eastAsia="Malgun Gothic" w:hAnsi="Times New Roman"/>
          <w:i/>
          <w:szCs w:val="20"/>
          <w:lang w:eastAsia="en-US"/>
        </w:rPr>
        <w:t>DiscPoolConfigCommon</w:t>
      </w:r>
      <w:proofErr w:type="spellEnd"/>
      <w:r w:rsidRPr="00EB677D">
        <w:rPr>
          <w:rFonts w:ascii="Times New Roman" w:eastAsia="Malgun Gothic" w:hAnsi="Times New Roman"/>
          <w:szCs w:val="20"/>
          <w:lang w:eastAsia="ko-KR"/>
        </w:rPr>
        <w:t>:</w:t>
      </w:r>
    </w:p>
    <w:p w14:paraId="75E5B4BF"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EB677D">
        <w:rPr>
          <w:rFonts w:ascii="Times New Roman" w:eastAsia="Malgun Gothic" w:hAnsi="Times New Roman"/>
          <w:szCs w:val="20"/>
          <w:lang w:eastAsia="en-US"/>
        </w:rPr>
        <w:t>3&gt;</w:t>
      </w:r>
      <w:r w:rsidRPr="00EB677D">
        <w:rPr>
          <w:rFonts w:ascii="Times New Roman" w:eastAsia="Malgun Gothic" w:hAnsi="Times New Roman"/>
          <w:szCs w:val="20"/>
          <w:lang w:eastAsia="en-US"/>
        </w:rPr>
        <w:tab/>
        <w:t xml:space="preserve">select a Destination associated </w:t>
      </w:r>
      <w:r w:rsidRPr="00EB677D">
        <w:rPr>
          <w:rFonts w:ascii="Times New Roman" w:eastAsia="Malgun Gothic" w:hAnsi="Times New Roman"/>
          <w:szCs w:val="20"/>
        </w:rPr>
        <w:t>with</w:t>
      </w:r>
      <w:r w:rsidRPr="00EB677D">
        <w:rPr>
          <w:rFonts w:ascii="Times New Roman" w:eastAsia="Malgun Gothic" w:hAnsi="Times New Roman"/>
          <w:szCs w:val="20"/>
          <w:lang w:eastAsia="en-US"/>
        </w:rPr>
        <w:t xml:space="preserve"> NR sidelink discovery as specified in TS 23.304</w:t>
      </w:r>
      <w:r w:rsidRPr="00EB677D">
        <w:rPr>
          <w:rFonts w:ascii="Times New Roman" w:eastAsia="Malgun Gothic" w:hAnsi="Times New Roman"/>
          <w:szCs w:val="20"/>
          <w:lang w:eastAsia="ko-KR"/>
        </w:rPr>
        <w:t xml:space="preserve"> </w:t>
      </w:r>
      <w:r w:rsidRPr="00EB677D">
        <w:rPr>
          <w:rFonts w:ascii="Times New Roman" w:eastAsia="Malgun Gothic" w:hAnsi="Times New Roman"/>
          <w:szCs w:val="20"/>
          <w:lang w:eastAsia="en-US"/>
        </w:rPr>
        <w:t xml:space="preserve">[26], that is in the SL Active time for the SL transmission occasion if SL DRX is applied for the destination, and among the logical channels that </w:t>
      </w:r>
      <w:r w:rsidRPr="00EB677D">
        <w:rPr>
          <w:rFonts w:ascii="Times New Roman" w:eastAsia="Malgun Gothic" w:hAnsi="Times New Roman"/>
          <w:szCs w:val="20"/>
          <w:lang w:eastAsia="ko-KR"/>
        </w:rPr>
        <w:t>satisfy all the following conditions for the SL grant associated to the SCI</w:t>
      </w:r>
      <w:r w:rsidRPr="00EB677D">
        <w:rPr>
          <w:rFonts w:ascii="Times New Roman" w:eastAsia="Malgun Gothic" w:hAnsi="Times New Roman"/>
          <w:szCs w:val="20"/>
          <w:lang w:eastAsia="en-US"/>
        </w:rPr>
        <w:t>:</w:t>
      </w:r>
    </w:p>
    <w:p w14:paraId="0853F2CF"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t>SL data for NR sidelink discovery is available for transmission; and</w:t>
      </w:r>
    </w:p>
    <w:p w14:paraId="1796A693"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proofErr w:type="spellStart"/>
      <w:r w:rsidRPr="00EB677D">
        <w:rPr>
          <w:rFonts w:ascii="Times New Roman" w:eastAsia="Malgun Gothic" w:hAnsi="Times New Roman"/>
          <w:i/>
          <w:szCs w:val="20"/>
          <w:lang w:eastAsia="ko-KR"/>
        </w:rPr>
        <w:t>SBj</w:t>
      </w:r>
      <w:proofErr w:type="spellEnd"/>
      <w:r w:rsidRPr="00EB677D">
        <w:rPr>
          <w:rFonts w:ascii="Times New Roman" w:eastAsia="Malgun Gothic" w:hAnsi="Times New Roman"/>
          <w:szCs w:val="20"/>
          <w:lang w:eastAsia="ko-KR"/>
        </w:rPr>
        <w:t xml:space="preserve"> </w:t>
      </w:r>
      <w:r w:rsidRPr="00EB677D">
        <w:rPr>
          <w:rFonts w:ascii="Times New Roman" w:eastAsia="Malgun Gothic" w:hAnsi="Times New Roman"/>
          <w:szCs w:val="20"/>
          <w:lang w:eastAsia="en-US"/>
        </w:rPr>
        <w:t xml:space="preserve">&gt; 0, in case there is any logical channel having </w:t>
      </w:r>
      <w:proofErr w:type="spellStart"/>
      <w:r w:rsidRPr="00EB677D">
        <w:rPr>
          <w:rFonts w:ascii="Times New Roman" w:eastAsia="Malgun Gothic" w:hAnsi="Times New Roman"/>
          <w:i/>
          <w:szCs w:val="20"/>
          <w:lang w:eastAsia="ko-KR"/>
        </w:rPr>
        <w:t>SBj</w:t>
      </w:r>
      <w:proofErr w:type="spellEnd"/>
      <w:r w:rsidRPr="00EB677D">
        <w:rPr>
          <w:rFonts w:ascii="Times New Roman" w:eastAsia="Malgun Gothic" w:hAnsi="Times New Roman"/>
          <w:szCs w:val="20"/>
          <w:lang w:eastAsia="ko-KR"/>
        </w:rPr>
        <w:t xml:space="preserve"> </w:t>
      </w:r>
      <w:r w:rsidRPr="00EB677D">
        <w:rPr>
          <w:rFonts w:ascii="Times New Roman" w:eastAsia="Malgun Gothic" w:hAnsi="Times New Roman"/>
          <w:szCs w:val="20"/>
          <w:lang w:eastAsia="en-US"/>
        </w:rPr>
        <w:t>&gt; 0; and</w:t>
      </w:r>
    </w:p>
    <w:p w14:paraId="098111CC"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r w:rsidRPr="00EB677D">
        <w:rPr>
          <w:rFonts w:ascii="Times New Roman" w:eastAsia="Malgun Gothic" w:hAnsi="Times New Roman"/>
          <w:i/>
          <w:szCs w:val="20"/>
          <w:lang w:eastAsia="ko-KR"/>
        </w:rPr>
        <w:t>sl-configuredGrantType1Allowed</w:t>
      </w:r>
      <w:r w:rsidRPr="00EB677D">
        <w:rPr>
          <w:rFonts w:ascii="Times New Roman" w:eastAsia="Malgun Gothic" w:hAnsi="Times New Roman"/>
          <w:szCs w:val="20"/>
          <w:lang w:eastAsia="ko-KR"/>
        </w:rPr>
        <w:t xml:space="preserve">, if configured, is set to </w:t>
      </w:r>
      <w:r w:rsidRPr="00EB677D">
        <w:rPr>
          <w:rFonts w:ascii="Times New Roman" w:eastAsia="Malgun Gothic" w:hAnsi="Times New Roman"/>
          <w:i/>
          <w:szCs w:val="20"/>
          <w:lang w:eastAsia="ko-KR"/>
        </w:rPr>
        <w:t>true</w:t>
      </w:r>
      <w:r w:rsidRPr="00EB677D">
        <w:rPr>
          <w:rFonts w:ascii="Times New Roman" w:eastAsia="Malgun Gothic" w:hAnsi="Times New Roman"/>
          <w:szCs w:val="20"/>
          <w:lang w:eastAsia="ko-KR"/>
        </w:rPr>
        <w:t xml:space="preserve"> in case the SL grant is a Configured Grant Type 1; and</w:t>
      </w:r>
    </w:p>
    <w:p w14:paraId="37948205"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lastRenderedPageBreak/>
        <w:t>4&gt;</w:t>
      </w:r>
      <w:r w:rsidRPr="00EB677D">
        <w:rPr>
          <w:rFonts w:ascii="Times New Roman" w:eastAsia="Malgun Gothic" w:hAnsi="Times New Roman"/>
          <w:szCs w:val="20"/>
          <w:lang w:eastAsia="ko-KR"/>
        </w:rPr>
        <w:tab/>
      </w:r>
      <w:proofErr w:type="spellStart"/>
      <w:r w:rsidRPr="00EB677D">
        <w:rPr>
          <w:rFonts w:ascii="Times New Roman" w:eastAsia="Malgun Gothic" w:hAnsi="Times New Roman"/>
          <w:i/>
          <w:szCs w:val="20"/>
          <w:lang w:eastAsia="ko-KR"/>
        </w:rPr>
        <w:t>sl</w:t>
      </w:r>
      <w:proofErr w:type="spellEnd"/>
      <w:r w:rsidRPr="00EB677D">
        <w:rPr>
          <w:rFonts w:ascii="Times New Roman" w:eastAsia="Malgun Gothic" w:hAnsi="Times New Roman"/>
          <w:i/>
          <w:szCs w:val="20"/>
          <w:lang w:eastAsia="ko-KR"/>
        </w:rPr>
        <w:t>-</w:t>
      </w:r>
      <w:proofErr w:type="spellStart"/>
      <w:r w:rsidRPr="00EB677D">
        <w:rPr>
          <w:rFonts w:ascii="Times New Roman" w:eastAsia="Malgun Gothic" w:hAnsi="Times New Roman"/>
          <w:i/>
          <w:szCs w:val="20"/>
          <w:lang w:eastAsia="ko-KR"/>
        </w:rPr>
        <w:t>AllowedCG</w:t>
      </w:r>
      <w:proofErr w:type="spellEnd"/>
      <w:r w:rsidRPr="00EB677D">
        <w:rPr>
          <w:rFonts w:ascii="Times New Roman" w:eastAsia="Malgun Gothic" w:hAnsi="Times New Roman"/>
          <w:i/>
          <w:szCs w:val="20"/>
          <w:lang w:eastAsia="ko-KR"/>
        </w:rPr>
        <w:t>-List</w:t>
      </w:r>
      <w:r w:rsidRPr="00EB677D">
        <w:rPr>
          <w:rFonts w:ascii="Times New Roman" w:eastAsia="Malgun Gothic" w:hAnsi="Times New Roman"/>
          <w:szCs w:val="20"/>
          <w:lang w:eastAsia="ko-KR"/>
        </w:rPr>
        <w:t>, if configured, includes the configured grant index associated to the SL grant.</w:t>
      </w:r>
    </w:p>
    <w:p w14:paraId="574CDB86"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2&gt;</w:t>
      </w:r>
      <w:r w:rsidRPr="00EB677D">
        <w:rPr>
          <w:rFonts w:ascii="Times New Roman" w:eastAsia="Malgun Gothic" w:hAnsi="Times New Roman"/>
          <w:szCs w:val="20"/>
          <w:lang w:eastAsia="ko-KR"/>
        </w:rPr>
        <w:tab/>
        <w:t>else:</w:t>
      </w:r>
    </w:p>
    <w:p w14:paraId="3A8E7820"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EB677D">
        <w:rPr>
          <w:rFonts w:ascii="Times New Roman" w:eastAsia="Malgun Gothic" w:hAnsi="Times New Roman"/>
          <w:szCs w:val="20"/>
          <w:lang w:eastAsia="en-US"/>
        </w:rPr>
        <w:t>3&gt;</w:t>
      </w:r>
      <w:r w:rsidRPr="00EB677D">
        <w:rPr>
          <w:rFonts w:ascii="Times New Roman" w:eastAsia="Malgun Gothic" w:hAnsi="Times New Roman"/>
          <w:szCs w:val="20"/>
          <w:lang w:eastAsia="en-US"/>
        </w:rPr>
        <w:tab/>
        <w:t xml:space="preserve">select a Destination associated </w:t>
      </w:r>
      <w:r w:rsidRPr="00EB677D">
        <w:rPr>
          <w:rFonts w:ascii="Times New Roman" w:eastAsia="Malgun Gothic" w:hAnsi="Times New Roman"/>
          <w:szCs w:val="20"/>
        </w:rPr>
        <w:t>to</w:t>
      </w:r>
      <w:r w:rsidRPr="00EB677D">
        <w:rPr>
          <w:rFonts w:ascii="Times New Roman" w:eastAsia="Malgun Gothic" w:hAnsi="Times New Roman"/>
          <w:szCs w:val="20"/>
          <w:lang w:eastAsia="en-US"/>
        </w:rPr>
        <w:t xml:space="preserve"> one of unicast, groupcast and broadcast (excluding the Destination(s) associated </w:t>
      </w:r>
      <w:r w:rsidRPr="00EB677D">
        <w:rPr>
          <w:rFonts w:ascii="Times New Roman" w:eastAsia="Malgun Gothic" w:hAnsi="Times New Roman"/>
          <w:szCs w:val="20"/>
        </w:rPr>
        <w:t>with</w:t>
      </w:r>
      <w:r w:rsidRPr="00EB677D">
        <w:rPr>
          <w:rFonts w:ascii="Times New Roman" w:eastAsia="Malgun Gothic" w:hAnsi="Times New Roman"/>
          <w:szCs w:val="20"/>
          <w:lang w:eastAsia="en-US"/>
        </w:rPr>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EB677D">
        <w:rPr>
          <w:rFonts w:ascii="Times New Roman" w:eastAsia="Malgun Gothic" w:hAnsi="Times New Roman"/>
          <w:szCs w:val="20"/>
          <w:lang w:eastAsia="ko-KR"/>
        </w:rPr>
        <w:t>satisfy all the following conditions and MAC CE(s), if any, for the SL grant associated to the SCI</w:t>
      </w:r>
      <w:r w:rsidRPr="00EB677D">
        <w:rPr>
          <w:rFonts w:ascii="Times New Roman" w:eastAsia="Malgun Gothic" w:hAnsi="Times New Roman"/>
          <w:szCs w:val="20"/>
          <w:lang w:eastAsia="en-US"/>
        </w:rPr>
        <w:t>:</w:t>
      </w:r>
    </w:p>
    <w:p w14:paraId="06A3324E"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t>SL data for NR sidelink communication is available for transmission; and</w:t>
      </w:r>
    </w:p>
    <w:p w14:paraId="3DCD832C"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proofErr w:type="spellStart"/>
      <w:r w:rsidRPr="00EB677D">
        <w:rPr>
          <w:rFonts w:ascii="Times New Roman" w:eastAsia="Malgun Gothic" w:hAnsi="Times New Roman"/>
          <w:i/>
          <w:szCs w:val="20"/>
          <w:lang w:eastAsia="ko-KR"/>
        </w:rPr>
        <w:t>SBj</w:t>
      </w:r>
      <w:proofErr w:type="spellEnd"/>
      <w:r w:rsidRPr="00EB677D">
        <w:rPr>
          <w:rFonts w:ascii="Times New Roman" w:eastAsia="Malgun Gothic" w:hAnsi="Times New Roman"/>
          <w:szCs w:val="20"/>
          <w:lang w:eastAsia="ko-KR"/>
        </w:rPr>
        <w:t xml:space="preserve"> </w:t>
      </w:r>
      <w:r w:rsidRPr="00EB677D">
        <w:rPr>
          <w:rFonts w:ascii="Times New Roman" w:eastAsia="Malgun Gothic" w:hAnsi="Times New Roman"/>
          <w:szCs w:val="20"/>
          <w:lang w:eastAsia="en-US"/>
        </w:rPr>
        <w:t xml:space="preserve">&gt; 0, in case there is any logical channel having </w:t>
      </w:r>
      <w:proofErr w:type="spellStart"/>
      <w:r w:rsidRPr="00EB677D">
        <w:rPr>
          <w:rFonts w:ascii="Times New Roman" w:eastAsia="Malgun Gothic" w:hAnsi="Times New Roman"/>
          <w:i/>
          <w:szCs w:val="20"/>
          <w:lang w:eastAsia="ko-KR"/>
        </w:rPr>
        <w:t>SBj</w:t>
      </w:r>
      <w:proofErr w:type="spellEnd"/>
      <w:r w:rsidRPr="00EB677D">
        <w:rPr>
          <w:rFonts w:ascii="Times New Roman" w:eastAsia="Malgun Gothic" w:hAnsi="Times New Roman"/>
          <w:szCs w:val="20"/>
          <w:lang w:eastAsia="ko-KR"/>
        </w:rPr>
        <w:t xml:space="preserve"> </w:t>
      </w:r>
      <w:r w:rsidRPr="00EB677D">
        <w:rPr>
          <w:rFonts w:ascii="Times New Roman" w:eastAsia="Malgun Gothic" w:hAnsi="Times New Roman"/>
          <w:szCs w:val="20"/>
          <w:lang w:eastAsia="en-US"/>
        </w:rPr>
        <w:t>&gt; 0; and</w:t>
      </w:r>
    </w:p>
    <w:p w14:paraId="102E089A"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r w:rsidRPr="00EB677D">
        <w:rPr>
          <w:rFonts w:ascii="Times New Roman" w:eastAsia="Malgun Gothic" w:hAnsi="Times New Roman"/>
          <w:i/>
          <w:szCs w:val="20"/>
          <w:lang w:eastAsia="ko-KR"/>
        </w:rPr>
        <w:t>sl-configuredGrantType1Allowed</w:t>
      </w:r>
      <w:r w:rsidRPr="00EB677D">
        <w:rPr>
          <w:rFonts w:ascii="Times New Roman" w:eastAsia="Malgun Gothic" w:hAnsi="Times New Roman"/>
          <w:szCs w:val="20"/>
          <w:lang w:eastAsia="ko-KR"/>
        </w:rPr>
        <w:t xml:space="preserve">, if configured, is set to </w:t>
      </w:r>
      <w:r w:rsidRPr="00EB677D">
        <w:rPr>
          <w:rFonts w:ascii="Times New Roman" w:eastAsia="Malgun Gothic" w:hAnsi="Times New Roman"/>
          <w:i/>
          <w:szCs w:val="20"/>
          <w:lang w:eastAsia="ko-KR"/>
        </w:rPr>
        <w:t>true</w:t>
      </w:r>
      <w:r w:rsidRPr="00EB677D">
        <w:rPr>
          <w:rFonts w:ascii="Times New Roman" w:eastAsia="Malgun Gothic" w:hAnsi="Times New Roman"/>
          <w:szCs w:val="20"/>
          <w:lang w:eastAsia="ko-KR"/>
        </w:rPr>
        <w:t xml:space="preserve"> in case the SL grant is a Configured Grant Type 1; and</w:t>
      </w:r>
    </w:p>
    <w:p w14:paraId="510CB8B6"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proofErr w:type="spellStart"/>
      <w:r w:rsidRPr="00EB677D">
        <w:rPr>
          <w:rFonts w:ascii="Times New Roman" w:eastAsia="Malgun Gothic" w:hAnsi="Times New Roman"/>
          <w:i/>
          <w:szCs w:val="20"/>
          <w:lang w:eastAsia="ko-KR"/>
        </w:rPr>
        <w:t>sl</w:t>
      </w:r>
      <w:proofErr w:type="spellEnd"/>
      <w:r w:rsidRPr="00EB677D">
        <w:rPr>
          <w:rFonts w:ascii="Times New Roman" w:eastAsia="Malgun Gothic" w:hAnsi="Times New Roman"/>
          <w:i/>
          <w:szCs w:val="20"/>
          <w:lang w:eastAsia="ko-KR"/>
        </w:rPr>
        <w:t>-</w:t>
      </w:r>
      <w:proofErr w:type="spellStart"/>
      <w:r w:rsidRPr="00EB677D">
        <w:rPr>
          <w:rFonts w:ascii="Times New Roman" w:eastAsia="Malgun Gothic" w:hAnsi="Times New Roman"/>
          <w:i/>
          <w:szCs w:val="20"/>
          <w:lang w:eastAsia="ko-KR"/>
        </w:rPr>
        <w:t>AllowedCG</w:t>
      </w:r>
      <w:proofErr w:type="spellEnd"/>
      <w:r w:rsidRPr="00EB677D">
        <w:rPr>
          <w:rFonts w:ascii="Times New Roman" w:eastAsia="Malgun Gothic" w:hAnsi="Times New Roman"/>
          <w:i/>
          <w:szCs w:val="20"/>
          <w:lang w:eastAsia="ko-KR"/>
        </w:rPr>
        <w:t>-List</w:t>
      </w:r>
      <w:r w:rsidRPr="00EB677D">
        <w:rPr>
          <w:rFonts w:ascii="Times New Roman" w:eastAsia="Malgun Gothic" w:hAnsi="Times New Roman"/>
          <w:szCs w:val="20"/>
          <w:lang w:eastAsia="ko-KR"/>
        </w:rPr>
        <w:t>, if configured, includes the configured grant index associated to the SL grant; and</w:t>
      </w:r>
    </w:p>
    <w:p w14:paraId="701703DE"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proofErr w:type="spellStart"/>
      <w:r w:rsidRPr="00EB677D">
        <w:rPr>
          <w:rFonts w:ascii="Times New Roman" w:eastAsia="Malgun Gothic" w:hAnsi="Times New Roman"/>
          <w:i/>
          <w:szCs w:val="20"/>
          <w:lang w:eastAsia="ko-KR"/>
        </w:rPr>
        <w:t>sl</w:t>
      </w:r>
      <w:proofErr w:type="spellEnd"/>
      <w:r w:rsidRPr="00EB677D">
        <w:rPr>
          <w:rFonts w:ascii="Times New Roman" w:eastAsia="Malgun Gothic" w:hAnsi="Times New Roman"/>
          <w:i/>
          <w:szCs w:val="20"/>
          <w:lang w:eastAsia="ko-KR"/>
        </w:rPr>
        <w:t>-HARQ-</w:t>
      </w:r>
      <w:proofErr w:type="spellStart"/>
      <w:r w:rsidRPr="00EB677D">
        <w:rPr>
          <w:rFonts w:ascii="Times New Roman" w:eastAsia="Malgun Gothic" w:hAnsi="Times New Roman"/>
          <w:i/>
          <w:szCs w:val="20"/>
          <w:lang w:eastAsia="ko-KR"/>
        </w:rPr>
        <w:t>FeedbackEnabled</w:t>
      </w:r>
      <w:proofErr w:type="spellEnd"/>
      <w:r w:rsidRPr="00EB677D">
        <w:rPr>
          <w:rFonts w:ascii="Times New Roman" w:eastAsia="Malgun Gothic" w:hAnsi="Times New Roman"/>
          <w:szCs w:val="20"/>
          <w:lang w:eastAsia="ko-KR"/>
        </w:rPr>
        <w:t xml:space="preserve"> is set to </w:t>
      </w:r>
      <w:r w:rsidRPr="00EB677D">
        <w:rPr>
          <w:rFonts w:ascii="Times New Roman" w:eastAsia="Malgun Gothic" w:hAnsi="Times New Roman"/>
          <w:i/>
          <w:szCs w:val="20"/>
          <w:lang w:eastAsia="ko-KR"/>
        </w:rPr>
        <w:t>disabled</w:t>
      </w:r>
      <w:r w:rsidRPr="00EB677D">
        <w:rPr>
          <w:rFonts w:ascii="Times New Roman" w:eastAsia="Malgun Gothic" w:hAnsi="Times New Roman"/>
          <w:szCs w:val="20"/>
          <w:lang w:eastAsia="ko-KR"/>
        </w:rPr>
        <w:t xml:space="preserve">, if </w:t>
      </w:r>
      <w:r w:rsidRPr="00EB677D">
        <w:rPr>
          <w:rFonts w:ascii="Times New Roman" w:eastAsia="Malgun Gothic" w:hAnsi="Times New Roman"/>
          <w:szCs w:val="20"/>
          <w:lang w:eastAsia="en-US"/>
        </w:rPr>
        <w:t>PSFCH is not configured for the SL grant associated to the SCI.</w:t>
      </w:r>
    </w:p>
    <w:p w14:paraId="3DFC4F1D"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r w:rsidRPr="00EB677D">
        <w:rPr>
          <w:rFonts w:ascii="Times New Roman" w:eastAsia="Malgun Gothic" w:hAnsi="Times New Roman"/>
          <w:szCs w:val="20"/>
          <w:lang w:eastAsia="en-US"/>
        </w:rP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EB677D">
        <w:rPr>
          <w:rFonts w:ascii="Times New Roman" w:eastAsia="Malgun Gothic" w:hAnsi="Times New Roman"/>
          <w:szCs w:val="20"/>
          <w:lang w:eastAsia="ko-KR"/>
        </w:rPr>
        <w:t>; and</w:t>
      </w:r>
    </w:p>
    <w:p w14:paraId="1373E1EE" w14:textId="77777777" w:rsidR="00EB677D" w:rsidRPr="00EB677D" w:rsidRDefault="00EB677D" w:rsidP="00EB677D">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Malgun Gothic" w:hAnsi="Times New Roman"/>
          <w:szCs w:val="20"/>
          <w:lang w:eastAsia="ko-KR"/>
        </w:rPr>
      </w:pPr>
      <w:r w:rsidRPr="00EB677D">
        <w:rPr>
          <w:rFonts w:ascii="Times New Roman" w:eastAsia="Malgun Gothic" w:hAnsi="Times New Roman"/>
          <w:szCs w:val="20"/>
          <w:lang w:eastAsia="ko-KR"/>
        </w:rPr>
        <w:t>NOTE x:</w:t>
      </w:r>
      <w:r w:rsidRPr="00EB677D">
        <w:rPr>
          <w:rFonts w:ascii="Times New Roman" w:eastAsia="Malgun Gothic" w:hAnsi="Times New Roman"/>
          <w:szCs w:val="20"/>
          <w:lang w:eastAsia="ko-KR"/>
        </w:rPr>
        <w:tab/>
        <w:t>A LCH is allowed in a carrier based on whether this selected carrier is within a subset of frequencies associated with all the PC5 QoS flows allowed to be mapped to this LCH based on RRC configuration.</w:t>
      </w:r>
    </w:p>
    <w:p w14:paraId="5FAF2B7F"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EB677D">
        <w:rPr>
          <w:rFonts w:ascii="Times New Roman" w:eastAsia="Malgun Gothic" w:hAnsi="Times New Roman"/>
          <w:szCs w:val="20"/>
          <w:lang w:eastAsia="ko-KR"/>
        </w:rPr>
        <w:t>4&gt;</w:t>
      </w:r>
      <w:r w:rsidRPr="00EB677D">
        <w:rPr>
          <w:rFonts w:ascii="Times New Roman" w:eastAsia="Malgun Gothic" w:hAnsi="Times New Roman"/>
          <w:szCs w:val="20"/>
          <w:lang w:eastAsia="ko-KR"/>
        </w:rPr>
        <w:tab/>
      </w:r>
      <w:r w:rsidRPr="00EB677D">
        <w:rPr>
          <w:rFonts w:ascii="Times New Roman" w:eastAsia="Malgun Gothic" w:hAnsi="Times New Roman"/>
          <w:szCs w:val="20"/>
        </w:rPr>
        <w:t xml:space="preserve">having </w:t>
      </w:r>
      <w:r w:rsidRPr="00EB677D">
        <w:rPr>
          <w:rFonts w:ascii="Times New Roman" w:eastAsia="Malgun Gothic" w:hAnsi="Times New Roman"/>
          <w:szCs w:val="20"/>
          <w:lang w:eastAsia="en-US"/>
        </w:rPr>
        <w:t xml:space="preserve">a priority </w:t>
      </w:r>
      <w:proofErr w:type="gramStart"/>
      <w:r w:rsidRPr="00EB677D">
        <w:rPr>
          <w:rFonts w:ascii="Times New Roman" w:eastAsia="Malgun Gothic" w:hAnsi="Times New Roman"/>
          <w:szCs w:val="20"/>
        </w:rPr>
        <w:t>whose</w:t>
      </w:r>
      <w:proofErr w:type="gramEnd"/>
      <w:r w:rsidRPr="00EB677D">
        <w:rPr>
          <w:rFonts w:ascii="Times New Roman" w:eastAsia="Malgun Gothic" w:hAnsi="Times New Roman"/>
          <w:szCs w:val="20"/>
        </w:rPr>
        <w:t xml:space="preserve"> </w:t>
      </w:r>
      <w:r w:rsidRPr="00EB677D">
        <w:rPr>
          <w:rFonts w:ascii="Times New Roman" w:eastAsia="Malgun Gothic" w:hAnsi="Times New Roman"/>
          <w:szCs w:val="20"/>
          <w:lang w:eastAsia="en-US"/>
        </w:rPr>
        <w:t xml:space="preserve">associated </w:t>
      </w:r>
      <w:proofErr w:type="spellStart"/>
      <w:r w:rsidRPr="00EB677D">
        <w:rPr>
          <w:rFonts w:ascii="Times New Roman" w:eastAsia="Malgun Gothic" w:hAnsi="Times New Roman"/>
          <w:i/>
          <w:szCs w:val="20"/>
          <w:lang w:eastAsia="en-US"/>
        </w:rPr>
        <w:t>sl-</w:t>
      </w:r>
      <w:r w:rsidRPr="00EB677D">
        <w:rPr>
          <w:rFonts w:ascii="Times New Roman" w:eastAsia="Malgun Gothic" w:hAnsi="Times New Roman"/>
          <w:i/>
          <w:szCs w:val="20"/>
        </w:rPr>
        <w:t>threshCBR-FreqReselection</w:t>
      </w:r>
      <w:proofErr w:type="spellEnd"/>
      <w:r w:rsidRPr="00EB677D">
        <w:rPr>
          <w:rFonts w:ascii="Times New Roman" w:eastAsia="Malgun Gothic" w:hAnsi="Times New Roman"/>
          <w:szCs w:val="20"/>
          <w:lang w:eastAsia="en-US"/>
        </w:rPr>
        <w:t xml:space="preserve"> </w:t>
      </w:r>
      <w:r w:rsidRPr="00EB677D">
        <w:rPr>
          <w:rFonts w:ascii="Times New Roman" w:eastAsia="Malgun Gothic" w:hAnsi="Times New Roman"/>
          <w:szCs w:val="20"/>
        </w:rPr>
        <w:t xml:space="preserve">is </w:t>
      </w:r>
      <w:r w:rsidRPr="00EB677D">
        <w:rPr>
          <w:rFonts w:ascii="Times New Roman" w:eastAsia="Malgun Gothic" w:hAnsi="Times New Roman"/>
          <w:szCs w:val="20"/>
          <w:lang w:eastAsia="en-US"/>
        </w:rPr>
        <w:t>no lower than the CBR of the carrier when the carrier is (re-)selected in accordance with 5.22.1.11, if multiple carrier frequencies are configured and if the MAC entity has been configured with Sidelink resource allocation mode 2.</w:t>
      </w:r>
    </w:p>
    <w:p w14:paraId="0637152A" w14:textId="2528165F" w:rsidR="00EB677D" w:rsidRDefault="00EB677D" w:rsidP="00393043">
      <w:r>
        <w:rPr>
          <w:rFonts w:hint="eastAsia"/>
        </w:rPr>
        <w:t>I</w:t>
      </w:r>
      <w:r>
        <w:t>.e., there is no COT-sharing related LCP enhancement for discovery traffic, and no COT-sharing related LCP enhancement for communication traffic when dedicated discovery pool is configured. I.e., SL-U functionality does not apply for the ProSe use case when dedicated discovery pool is configured.</w:t>
      </w:r>
    </w:p>
    <w:p w14:paraId="269961A1" w14:textId="6AB1F71E" w:rsidR="00EB677D" w:rsidRDefault="00EB677D" w:rsidP="00EB677D">
      <w:pPr>
        <w:pStyle w:val="Observation"/>
        <w:ind w:left="1701" w:hanging="1701"/>
      </w:pPr>
      <w:r>
        <w:rPr>
          <w:rFonts w:hint="eastAsia"/>
        </w:rPr>
        <w:t>I</w:t>
      </w:r>
      <w:r>
        <w:t xml:space="preserve">n stage-3 MAC spec, SL-U functionality (e.g., </w:t>
      </w:r>
      <w:proofErr w:type="spellStart"/>
      <w:r>
        <w:t>eLCP</w:t>
      </w:r>
      <w:proofErr w:type="spellEnd"/>
      <w:r>
        <w:t>) does not apply to ProSe use case, when dedicated discovery pool is configured.</w:t>
      </w:r>
    </w:p>
    <w:p w14:paraId="21ACF643" w14:textId="201E8947" w:rsidR="00EB677D" w:rsidRDefault="00EB677D" w:rsidP="00393043">
      <w:r>
        <w:rPr>
          <w:rFonts w:hint="eastAsia"/>
        </w:rPr>
        <w:t>I</w:t>
      </w:r>
      <w:r>
        <w:t>n 300, there is no clue for the use case of SL-U either.</w:t>
      </w:r>
    </w:p>
    <w:p w14:paraId="63EAD11E" w14:textId="421476A0" w:rsidR="00EB677D" w:rsidRDefault="00EB677D" w:rsidP="00EB677D">
      <w:pPr>
        <w:pBdr>
          <w:top w:val="single" w:sz="4" w:space="0" w:color="auto"/>
          <w:left w:val="single" w:sz="4" w:space="0" w:color="auto"/>
          <w:bottom w:val="single" w:sz="4" w:space="0" w:color="auto"/>
          <w:right w:val="single" w:sz="4" w:space="0" w:color="auto"/>
          <w:between w:val="none" w:sz="0" w:space="0" w:color="auto"/>
        </w:pBdr>
      </w:pPr>
      <w:r w:rsidRPr="00EB677D">
        <w:rPr>
          <w:rFonts w:ascii="Times New Roman" w:eastAsia="Times New Roman" w:hAnsi="Times New Roman"/>
          <w:szCs w:val="20"/>
          <w:lang w:eastAsia="ja-JP"/>
        </w:rPr>
        <w:t>Sidelink supports operation in unlicensed spectrum for both mode 1 and mode 2. Type1 and Type2 (2A/2B/2C) channel access procedures specified in TS 37.213 are used for NR sidelink operation in a shared channel.</w:t>
      </w:r>
    </w:p>
    <w:p w14:paraId="455BDBD6" w14:textId="3F7665A2" w:rsidR="00EB677D" w:rsidRDefault="00EB677D" w:rsidP="00EB677D">
      <w:pPr>
        <w:pStyle w:val="Observation"/>
        <w:ind w:left="1701" w:hanging="1701"/>
      </w:pPr>
      <w:r>
        <w:rPr>
          <w:rFonts w:hint="eastAsia"/>
        </w:rPr>
        <w:t>I</w:t>
      </w:r>
      <w:r>
        <w:t xml:space="preserve">n stage-2 spec, SL-U use-case is not clearly described either. </w:t>
      </w:r>
    </w:p>
    <w:p w14:paraId="121842E8" w14:textId="3ED793D6" w:rsidR="00EB677D" w:rsidRDefault="00302A7B" w:rsidP="00393043">
      <w:r>
        <w:t>So,</w:t>
      </w:r>
      <w:r w:rsidR="00EB677D">
        <w:t xml:space="preserve"> it seems necessary for R2 to clarify this issue clearly.</w:t>
      </w:r>
    </w:p>
    <w:p w14:paraId="59297B33" w14:textId="27CC3E58" w:rsidR="00EB677D" w:rsidRDefault="00EB677D" w:rsidP="00393043">
      <w:r>
        <w:rPr>
          <w:rFonts w:hint="eastAsia"/>
        </w:rPr>
        <w:t>F</w:t>
      </w:r>
      <w:r>
        <w:t xml:space="preserve">or the possible concern whether this would lead to additional function related work, it can be clarified that it is just to ensure ProSe is covered in spec capturing, but no need to re-open any function related discussion / design. </w:t>
      </w:r>
    </w:p>
    <w:p w14:paraId="33CF2C3C" w14:textId="68E9646C" w:rsidR="00EB677D" w:rsidRDefault="00EB677D" w:rsidP="00EB677D">
      <w:pPr>
        <w:pStyle w:val="Proposal"/>
        <w:jc w:val="left"/>
      </w:pPr>
      <w:bookmarkStart w:id="9" w:name="_Toc159243597"/>
      <w:r>
        <w:rPr>
          <w:rFonts w:hint="eastAsia"/>
        </w:rPr>
        <w:t>R</w:t>
      </w:r>
      <w:r>
        <w:t>2 clarify R18 SL-U applies to ProSe use-case, including communication and discovery.</w:t>
      </w:r>
      <w:bookmarkEnd w:id="9"/>
    </w:p>
    <w:p w14:paraId="6EC248AA" w14:textId="7D2531D4" w:rsidR="00EB677D" w:rsidRDefault="00EB677D" w:rsidP="00393043">
      <w:r>
        <w:rPr>
          <w:rFonts w:hint="eastAsia"/>
        </w:rPr>
        <w:t>F</w:t>
      </w:r>
      <w:r>
        <w:t>or SL-CA</w:t>
      </w:r>
      <w:r>
        <w:rPr>
          <w:rFonts w:hint="eastAsia"/>
        </w:rPr>
        <w:t>,</w:t>
      </w:r>
      <w:r>
        <w:t xml:space="preserve"> it is clearly captured in </w:t>
      </w:r>
      <w:proofErr w:type="gramStart"/>
      <w:r>
        <w:t>WID</w:t>
      </w:r>
      <w:proofErr w:type="gramEnd"/>
    </w:p>
    <w:p w14:paraId="403D6DB3" w14:textId="77777777" w:rsidR="00EB677D" w:rsidRPr="00EB677D" w:rsidRDefault="00EB677D" w:rsidP="00EB677D">
      <w:pPr>
        <w:numPr>
          <w:ilvl w:val="0"/>
          <w:numId w:val="32"/>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before="60" w:after="60"/>
        <w:ind w:left="284" w:hanging="284"/>
        <w:jc w:val="left"/>
        <w:textAlignment w:val="baseline"/>
        <w:rPr>
          <w:rFonts w:ascii="Times" w:eastAsia="Batang" w:hAnsi="Times" w:cs="Times"/>
          <w:szCs w:val="20"/>
          <w:lang w:eastAsia="ko-KR"/>
        </w:rPr>
      </w:pPr>
      <w:r w:rsidRPr="00EB677D">
        <w:rPr>
          <w:rFonts w:ascii="Times" w:eastAsia="Batang" w:hAnsi="Times" w:cs="Times"/>
          <w:szCs w:val="20"/>
          <w:lang w:eastAsia="ko-KR"/>
        </w:rPr>
        <w:t>Note: The SL CA work in Rel-18 mainly targets some V2X use cases</w:t>
      </w:r>
    </w:p>
    <w:p w14:paraId="646A91F0" w14:textId="289A7442" w:rsidR="00EB677D" w:rsidRDefault="00EB677D" w:rsidP="00393043">
      <w:r>
        <w:rPr>
          <w:rFonts w:hint="eastAsia"/>
        </w:rPr>
        <w:t>A</w:t>
      </w:r>
      <w:r>
        <w:t xml:space="preserve">nd in </w:t>
      </w:r>
      <w:proofErr w:type="gramStart"/>
      <w:r>
        <w:t>stage-2</w:t>
      </w:r>
      <w:proofErr w:type="gramEnd"/>
    </w:p>
    <w:p w14:paraId="582E9AEC" w14:textId="77777777"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EB677D">
        <w:rPr>
          <w:rFonts w:ascii="Times New Roman" w:eastAsia="Times New Roman" w:hAnsi="Times New Roman"/>
          <w:szCs w:val="20"/>
          <w:lang w:eastAsia="ko-KR"/>
        </w:rPr>
        <w:t>Carrier aggregation (CA) in sidelink is supported for mode 2 and in V2X case only. It applies to both in coverage UEs and out of coverage UEs. Each resource pool (pre)configured for sidelink is associated to a single carrier. A UE using mode 2 resource allocation performs carrier (re)selection and may select one or more carriers used for sidelink.</w:t>
      </w:r>
    </w:p>
    <w:p w14:paraId="4585D632" w14:textId="7482E0AB" w:rsidR="00EB677D" w:rsidRDefault="00EB677D" w:rsidP="00393043">
      <w:r>
        <w:rPr>
          <w:rFonts w:hint="eastAsia"/>
        </w:rPr>
        <w:t>B</w:t>
      </w:r>
      <w:r>
        <w:t xml:space="preserve">ut in 304, it seems applicable to relay, which is a sub-use-case of </w:t>
      </w:r>
      <w:proofErr w:type="gramStart"/>
      <w:r>
        <w:t>ProSe</w:t>
      </w:r>
      <w:proofErr w:type="gramEnd"/>
    </w:p>
    <w:p w14:paraId="3D56556C" w14:textId="39248C6D" w:rsidR="00EB677D" w:rsidRPr="00EB677D" w:rsidRDefault="00EB677D" w:rsidP="00EB677D">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ko-KR"/>
        </w:rPr>
      </w:pPr>
      <w:r w:rsidRPr="00EB677D">
        <w:rPr>
          <w:rFonts w:ascii="Times New Roman" w:hAnsi="Times New Roman"/>
          <w:szCs w:val="20"/>
          <w:lang w:eastAsia="ko-KR" w:bidi="ar"/>
        </w:rPr>
        <w:lastRenderedPageBreak/>
        <w:t xml:space="preserve">For NR sidelink broadcast and groupcast, the UE may obtain SL DRX configuration from </w:t>
      </w:r>
      <w:r w:rsidRPr="00EB677D">
        <w:rPr>
          <w:rFonts w:ascii="Times New Roman" w:hAnsi="Times New Roman"/>
          <w:i/>
          <w:iCs/>
          <w:szCs w:val="20"/>
          <w:lang w:eastAsia="ko-KR" w:bidi="ar"/>
        </w:rPr>
        <w:t>SIB12</w:t>
      </w:r>
      <w:r w:rsidRPr="00EB677D">
        <w:rPr>
          <w:rFonts w:ascii="Times New Roman" w:hAnsi="Times New Roman"/>
          <w:szCs w:val="20"/>
          <w:lang w:eastAsia="ko-KR" w:bidi="ar"/>
        </w:rPr>
        <w:t xml:space="preserve"> (for in-coverage UE, as defined in clause 8.2, in RRC_IDLE and RRC_INACTIVE state; or for </w:t>
      </w:r>
      <w:r w:rsidRPr="00EB677D">
        <w:rPr>
          <w:rFonts w:ascii="Times New Roman" w:hAnsi="Times New Roman"/>
          <w:szCs w:val="20"/>
          <w:highlight w:val="yellow"/>
          <w:lang w:eastAsia="ko-KR" w:bidi="ar"/>
        </w:rPr>
        <w:t>out-of-coverage UE</w:t>
      </w:r>
      <w:r w:rsidRPr="00EB677D">
        <w:rPr>
          <w:rFonts w:ascii="Times New Roman" w:hAnsi="Times New Roman"/>
          <w:szCs w:val="20"/>
          <w:lang w:eastAsia="ko-KR" w:bidi="ar"/>
        </w:rPr>
        <w:t xml:space="preserve"> as defined in clause 8.2, on the frequency which the UE is configured to perform NR sidelink communication/discovery and which is included in </w:t>
      </w:r>
      <w:proofErr w:type="spellStart"/>
      <w:r w:rsidRPr="00EB677D">
        <w:rPr>
          <w:rFonts w:ascii="Times New Roman" w:hAnsi="Times New Roman"/>
          <w:i/>
          <w:szCs w:val="20"/>
          <w:lang w:eastAsia="ko-KR" w:bidi="ar"/>
        </w:rPr>
        <w:t>sl-FreqInfoList</w:t>
      </w:r>
      <w:proofErr w:type="spellEnd"/>
      <w:r w:rsidRPr="00EB677D">
        <w:rPr>
          <w:rFonts w:ascii="Times New Roman" w:hAnsi="Times New Roman"/>
          <w:iCs/>
          <w:szCs w:val="20"/>
          <w:lang w:eastAsia="ja-JP"/>
        </w:rPr>
        <w:t>/</w:t>
      </w:r>
      <w:proofErr w:type="spellStart"/>
      <w:r w:rsidRPr="00EB677D">
        <w:rPr>
          <w:rFonts w:ascii="Times New Roman" w:hAnsi="Times New Roman"/>
          <w:i/>
          <w:szCs w:val="20"/>
          <w:highlight w:val="yellow"/>
          <w:lang w:eastAsia="ja-JP"/>
        </w:rPr>
        <w:t>sl-FreqInfoListSizeExt</w:t>
      </w:r>
      <w:proofErr w:type="spellEnd"/>
      <w:r w:rsidRPr="00EB677D">
        <w:rPr>
          <w:rFonts w:ascii="Times New Roman" w:hAnsi="Times New Roman"/>
          <w:szCs w:val="20"/>
          <w:lang w:eastAsia="ko-KR" w:bidi="ar"/>
        </w:rPr>
        <w:t xml:space="preserve"> in </w:t>
      </w:r>
      <w:r w:rsidRPr="00EB677D">
        <w:rPr>
          <w:rFonts w:ascii="Times New Roman" w:hAnsi="Times New Roman"/>
          <w:i/>
          <w:szCs w:val="20"/>
          <w:lang w:eastAsia="ko-KR" w:bidi="ar"/>
        </w:rPr>
        <w:t>SIB12</w:t>
      </w:r>
      <w:r w:rsidRPr="00EB677D">
        <w:rPr>
          <w:rFonts w:ascii="Times New Roman" w:hAnsi="Times New Roman"/>
          <w:szCs w:val="20"/>
          <w:lang w:eastAsia="ko-KR" w:bidi="ar"/>
        </w:rPr>
        <w:t xml:space="preserve">) or </w:t>
      </w:r>
      <w:r w:rsidRPr="00EB677D">
        <w:rPr>
          <w:rFonts w:ascii="Times New Roman" w:hAnsi="Times New Roman"/>
          <w:i/>
          <w:iCs/>
          <w:szCs w:val="20"/>
          <w:lang w:eastAsia="ko-KR" w:bidi="ar"/>
        </w:rPr>
        <w:t>SL-</w:t>
      </w:r>
      <w:proofErr w:type="spellStart"/>
      <w:r w:rsidRPr="00EB677D">
        <w:rPr>
          <w:rFonts w:ascii="Times New Roman" w:hAnsi="Times New Roman"/>
          <w:i/>
          <w:iCs/>
          <w:szCs w:val="20"/>
          <w:lang w:eastAsia="ko-KR" w:bidi="ar"/>
        </w:rPr>
        <w:t>PreconfigurationNR</w:t>
      </w:r>
      <w:proofErr w:type="spellEnd"/>
      <w:r w:rsidRPr="00EB677D">
        <w:rPr>
          <w:rFonts w:ascii="Times New Roman" w:hAnsi="Times New Roman"/>
          <w:szCs w:val="20"/>
          <w:lang w:eastAsia="ko-KR" w:bidi="ar"/>
        </w:rPr>
        <w:t xml:space="preserve"> (for non L2 U2N Remote UE out-of-coverage, as defined in clause 8.2, on the frequency which the UE is configured to perform NR sidelink communication/discovery and which is not included in </w:t>
      </w:r>
      <w:proofErr w:type="spellStart"/>
      <w:r w:rsidRPr="00EB677D">
        <w:rPr>
          <w:rFonts w:ascii="Times New Roman" w:hAnsi="Times New Roman"/>
          <w:i/>
          <w:szCs w:val="20"/>
          <w:lang w:eastAsia="ko-KR" w:bidi="ar"/>
        </w:rPr>
        <w:t>sl-FreqInfoList</w:t>
      </w:r>
      <w:proofErr w:type="spellEnd"/>
      <w:r w:rsidRPr="00EB677D">
        <w:rPr>
          <w:rFonts w:ascii="Times New Roman" w:hAnsi="Times New Roman"/>
          <w:iCs/>
          <w:szCs w:val="20"/>
          <w:lang w:eastAsia="ja-JP"/>
        </w:rPr>
        <w:t>/</w:t>
      </w:r>
      <w:proofErr w:type="spellStart"/>
      <w:r w:rsidRPr="00EB677D">
        <w:rPr>
          <w:rFonts w:ascii="Times New Roman" w:hAnsi="Times New Roman"/>
          <w:i/>
          <w:szCs w:val="20"/>
          <w:lang w:eastAsia="ja-JP"/>
        </w:rPr>
        <w:t>sl-FreqInfoListSizeExt</w:t>
      </w:r>
      <w:proofErr w:type="spellEnd"/>
      <w:r w:rsidRPr="00EB677D">
        <w:rPr>
          <w:rFonts w:ascii="Times New Roman" w:hAnsi="Times New Roman"/>
          <w:szCs w:val="20"/>
          <w:lang w:eastAsia="ko-KR" w:bidi="ar"/>
        </w:rPr>
        <w:t xml:space="preserve"> in </w:t>
      </w:r>
      <w:r w:rsidRPr="00EB677D">
        <w:rPr>
          <w:rFonts w:ascii="Times New Roman" w:hAnsi="Times New Roman"/>
          <w:i/>
          <w:szCs w:val="20"/>
          <w:lang w:eastAsia="ko-KR" w:bidi="ar"/>
        </w:rPr>
        <w:t>SIB12</w:t>
      </w:r>
      <w:r w:rsidRPr="00EB677D">
        <w:rPr>
          <w:rFonts w:ascii="Times New Roman" w:hAnsi="Times New Roman"/>
          <w:szCs w:val="20"/>
          <w:lang w:eastAsia="ko-KR" w:bidi="ar"/>
        </w:rPr>
        <w:t>).</w:t>
      </w:r>
    </w:p>
    <w:p w14:paraId="17F32B86" w14:textId="5CC49494" w:rsidR="00EB677D" w:rsidRDefault="00EB677D" w:rsidP="00EB677D">
      <w:pPr>
        <w:pStyle w:val="Observation"/>
        <w:ind w:left="1701" w:hanging="1701"/>
      </w:pPr>
      <w:r>
        <w:rPr>
          <w:rFonts w:hint="eastAsia"/>
        </w:rPr>
        <w:t>R</w:t>
      </w:r>
      <w:r>
        <w:t>18 SL-Evo WID clarified that V2X is the use case for SL-CA, which has been reflected in Stage-2 but not in 38.304.</w:t>
      </w:r>
    </w:p>
    <w:p w14:paraId="5F16AC48" w14:textId="4B750798" w:rsidR="00EB677D" w:rsidRDefault="00EB677D" w:rsidP="00EB677D">
      <w:pPr>
        <w:pStyle w:val="Proposal"/>
        <w:jc w:val="left"/>
      </w:pPr>
      <w:bookmarkStart w:id="10" w:name="_Toc159243598"/>
      <w:r>
        <w:rPr>
          <w:rFonts w:hint="eastAsia"/>
        </w:rPr>
        <w:t>R</w:t>
      </w:r>
      <w:r>
        <w:t xml:space="preserve">2 clarify R18 SL-CA applies to V2X use-case, but not for ProSe use-case (including SL </w:t>
      </w:r>
      <w:r>
        <w:rPr>
          <w:rFonts w:hint="eastAsia"/>
        </w:rPr>
        <w:t>Relay</w:t>
      </w:r>
      <w:r>
        <w:t>).</w:t>
      </w:r>
      <w:bookmarkEnd w:id="10"/>
    </w:p>
    <w:p w14:paraId="3716847D" w14:textId="77777777" w:rsidR="00ED52D8" w:rsidRPr="00AF5A67" w:rsidRDefault="00ED52D8" w:rsidP="00AF5A67"/>
    <w:p w14:paraId="6C32A57D" w14:textId="4652CC89" w:rsidR="00AF5A67" w:rsidRDefault="00AF5A67">
      <w:pPr>
        <w:spacing w:after="0"/>
        <w:jc w:val="left"/>
      </w:pPr>
      <w:r>
        <w:br w:type="page"/>
      </w:r>
    </w:p>
    <w:p w14:paraId="717D7F08" w14:textId="77777777" w:rsidR="00AF5A67" w:rsidRPr="00AF5A67" w:rsidRDefault="00AF5A67" w:rsidP="00AF5A67"/>
    <w:p w14:paraId="2E58CC51" w14:textId="77777777" w:rsidR="00FB3C9D" w:rsidRDefault="003D1DDD">
      <w:pPr>
        <w:pStyle w:val="1"/>
      </w:pPr>
      <w:bookmarkStart w:id="11" w:name="_Toc114153059"/>
      <w:bookmarkEnd w:id="11"/>
      <w:r>
        <w:t>Conclusion</w:t>
      </w:r>
    </w:p>
    <w:p w14:paraId="3F89E93E" w14:textId="5F40ADF1" w:rsidR="00932A4E" w:rsidRDefault="00932A4E" w:rsidP="00932A4E"/>
    <w:p w14:paraId="7962C03C" w14:textId="68311F48" w:rsidR="00FB3C9D" w:rsidRDefault="003D1DDD" w:rsidP="00932A4E">
      <w:r>
        <w:t>We have the following proposals:</w:t>
      </w:r>
    </w:p>
    <w:p w14:paraId="3B287BB1" w14:textId="77777777" w:rsidR="002F3180"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9243597" w:history="1">
        <w:r w:rsidR="002F3180" w:rsidRPr="00D91549">
          <w:rPr>
            <w:rStyle w:val="af3"/>
            <w:noProof/>
          </w:rPr>
          <w:t>Proposal 1</w:t>
        </w:r>
        <w:r w:rsidR="002F3180">
          <w:rPr>
            <w:rFonts w:asciiTheme="minorHAnsi" w:eastAsiaTheme="minorEastAsia" w:hAnsiTheme="minorHAnsi" w:cstheme="minorBidi"/>
            <w:b w:val="0"/>
            <w:noProof/>
            <w:kern w:val="2"/>
            <w:sz w:val="21"/>
            <w14:ligatures w14:val="standardContextual"/>
          </w:rPr>
          <w:tab/>
        </w:r>
        <w:r w:rsidR="002F3180" w:rsidRPr="00D91549">
          <w:rPr>
            <w:rStyle w:val="af3"/>
            <w:noProof/>
          </w:rPr>
          <w:t>R2 clarify R18 SL-U applies to ProSe use-case, including communication and discovery.</w:t>
        </w:r>
      </w:hyperlink>
    </w:p>
    <w:p w14:paraId="1B1E015B" w14:textId="77777777" w:rsidR="002F3180" w:rsidRDefault="002F3180">
      <w:pPr>
        <w:pStyle w:val="TOC1"/>
        <w:rPr>
          <w:rFonts w:asciiTheme="minorHAnsi" w:eastAsiaTheme="minorEastAsia" w:hAnsiTheme="minorHAnsi" w:cstheme="minorBidi"/>
          <w:b w:val="0"/>
          <w:noProof/>
          <w:kern w:val="2"/>
          <w:sz w:val="21"/>
          <w14:ligatures w14:val="standardContextual"/>
        </w:rPr>
      </w:pPr>
      <w:hyperlink w:anchor="_Toc159243598" w:history="1">
        <w:r w:rsidRPr="00D91549">
          <w:rPr>
            <w:rStyle w:val="af3"/>
            <w:noProof/>
          </w:rPr>
          <w:t>Proposal 2</w:t>
        </w:r>
        <w:r>
          <w:rPr>
            <w:rFonts w:asciiTheme="minorHAnsi" w:eastAsiaTheme="minorEastAsia" w:hAnsiTheme="minorHAnsi" w:cstheme="minorBidi"/>
            <w:b w:val="0"/>
            <w:noProof/>
            <w:kern w:val="2"/>
            <w:sz w:val="21"/>
            <w14:ligatures w14:val="standardContextual"/>
          </w:rPr>
          <w:tab/>
        </w:r>
        <w:r w:rsidRPr="00D91549">
          <w:rPr>
            <w:rStyle w:val="af3"/>
            <w:noProof/>
          </w:rPr>
          <w:t>R2 clarify R18 SL-CA applies to V2X use-case, but not for ProSe use-case (including SL Relay).</w:t>
        </w:r>
      </w:hyperlink>
    </w:p>
    <w:p w14:paraId="709E4DDE" w14:textId="6926C18B" w:rsidR="00FB3C9D" w:rsidRDefault="003D1DDD">
      <w:pPr>
        <w:rPr>
          <w:rFonts w:ascii="等线" w:eastAsia="等线" w:hAnsi="等线" w:cs="等线"/>
          <w:b/>
          <w:sz w:val="22"/>
        </w:rPr>
      </w:pPr>
      <w:r>
        <w:fldChar w:fldCharType="end"/>
      </w:r>
    </w:p>
    <w:p w14:paraId="66A80CB6" w14:textId="298EE463" w:rsidR="00FB3C9D" w:rsidRDefault="00FB3C9D">
      <w:pPr>
        <w:rPr>
          <w:lang w:val="en-US"/>
        </w:rPr>
      </w:pPr>
      <w:bookmarkStart w:id="12" w:name="_In-sequence_SDU_delivery"/>
      <w:bookmarkEnd w:id="12"/>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42CC" w14:textId="77777777" w:rsidR="00CD6E54" w:rsidRDefault="00CD6E54">
      <w:pPr>
        <w:spacing w:after="0"/>
      </w:pPr>
      <w:r>
        <w:separator/>
      </w:r>
    </w:p>
  </w:endnote>
  <w:endnote w:type="continuationSeparator" w:id="0">
    <w:p w14:paraId="682207F6" w14:textId="77777777" w:rsidR="00CD6E54" w:rsidRDefault="00CD6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B094" w14:textId="77777777" w:rsidR="00CD6E54" w:rsidRDefault="00CD6E54">
      <w:pPr>
        <w:spacing w:after="0"/>
      </w:pPr>
      <w:r>
        <w:separator/>
      </w:r>
    </w:p>
  </w:footnote>
  <w:footnote w:type="continuationSeparator" w:id="0">
    <w:p w14:paraId="51EA3D3A" w14:textId="77777777" w:rsidR="00CD6E54" w:rsidRDefault="00CD6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C832DA"/>
    <w:multiLevelType w:val="hybridMultilevel"/>
    <w:tmpl w:val="337C96C4"/>
    <w:lvl w:ilvl="0" w:tplc="60AC4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0F02D42"/>
    <w:multiLevelType w:val="hybridMultilevel"/>
    <w:tmpl w:val="BCBE7E28"/>
    <w:lvl w:ilvl="0" w:tplc="74E4C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10"/>
  </w:num>
  <w:num w:numId="2" w16cid:durableId="191774664">
    <w:abstractNumId w:val="9"/>
  </w:num>
  <w:num w:numId="3" w16cid:durableId="1871991975">
    <w:abstractNumId w:val="18"/>
  </w:num>
  <w:num w:numId="4" w16cid:durableId="667295110">
    <w:abstractNumId w:val="4"/>
  </w:num>
  <w:num w:numId="5" w16cid:durableId="1677078568">
    <w:abstractNumId w:val="13"/>
  </w:num>
  <w:num w:numId="6" w16cid:durableId="1474130103">
    <w:abstractNumId w:val="6"/>
  </w:num>
  <w:num w:numId="7" w16cid:durableId="377555426">
    <w:abstractNumId w:val="5"/>
  </w:num>
  <w:num w:numId="8" w16cid:durableId="530218003">
    <w:abstractNumId w:val="12"/>
  </w:num>
  <w:num w:numId="9" w16cid:durableId="1099522662">
    <w:abstractNumId w:val="16"/>
  </w:num>
  <w:num w:numId="10" w16cid:durableId="1315335334">
    <w:abstractNumId w:val="11"/>
  </w:num>
  <w:num w:numId="11" w16cid:durableId="1530874606">
    <w:abstractNumId w:val="8"/>
  </w:num>
  <w:num w:numId="12" w16cid:durableId="1749107068">
    <w:abstractNumId w:val="3"/>
  </w:num>
  <w:num w:numId="13" w16cid:durableId="915479581">
    <w:abstractNumId w:val="7"/>
  </w:num>
  <w:num w:numId="14" w16cid:durableId="1513303153">
    <w:abstractNumId w:val="17"/>
  </w:num>
  <w:num w:numId="15" w16cid:durableId="119766012">
    <w:abstractNumId w:val="2"/>
  </w:num>
  <w:num w:numId="16" w16cid:durableId="780763105">
    <w:abstractNumId w:val="15"/>
  </w:num>
  <w:num w:numId="17" w16cid:durableId="1873299562">
    <w:abstractNumId w:val="10"/>
  </w:num>
  <w:num w:numId="18" w16cid:durableId="1786197783">
    <w:abstractNumId w:val="3"/>
  </w:num>
  <w:num w:numId="19" w16cid:durableId="1421291205">
    <w:abstractNumId w:val="3"/>
  </w:num>
  <w:num w:numId="20" w16cid:durableId="2053990697">
    <w:abstractNumId w:val="10"/>
  </w:num>
  <w:num w:numId="21" w16cid:durableId="779839640">
    <w:abstractNumId w:val="3"/>
  </w:num>
  <w:num w:numId="22" w16cid:durableId="1776250915">
    <w:abstractNumId w:val="10"/>
  </w:num>
  <w:num w:numId="23" w16cid:durableId="1568417595">
    <w:abstractNumId w:val="3"/>
  </w:num>
  <w:num w:numId="24" w16cid:durableId="1603879395">
    <w:abstractNumId w:val="10"/>
  </w:num>
  <w:num w:numId="25" w16cid:durableId="1370108580">
    <w:abstractNumId w:val="3"/>
  </w:num>
  <w:num w:numId="26" w16cid:durableId="85853540">
    <w:abstractNumId w:val="10"/>
  </w:num>
  <w:num w:numId="27" w16cid:durableId="102964289">
    <w:abstractNumId w:val="14"/>
  </w:num>
  <w:num w:numId="28" w16cid:durableId="1639257936">
    <w:abstractNumId w:val="3"/>
  </w:num>
  <w:num w:numId="29" w16cid:durableId="432634582">
    <w:abstractNumId w:val="3"/>
  </w:num>
  <w:num w:numId="30" w16cid:durableId="124813298">
    <w:abstractNumId w:val="10"/>
  </w:num>
  <w:num w:numId="31" w16cid:durableId="41903299">
    <w:abstractNumId w:val="3"/>
  </w:num>
  <w:num w:numId="32" w16cid:durableId="1487746609">
    <w:abstractNumId w:val="1"/>
  </w:num>
  <w:num w:numId="33" w16cid:durableId="572400073">
    <w:abstractNumId w:val="17"/>
  </w:num>
  <w:num w:numId="34" w16cid:durableId="2089884088">
    <w:abstractNumId w:val="17"/>
  </w:num>
  <w:num w:numId="35"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301690279">
    <w:abstractNumId w:val="17"/>
  </w:num>
  <w:num w:numId="37" w16cid:durableId="20664450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gFAJKINvo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773CA"/>
    <w:rsid w:val="000806EA"/>
    <w:rsid w:val="0009085A"/>
    <w:rsid w:val="0009509B"/>
    <w:rsid w:val="000A4D27"/>
    <w:rsid w:val="000A659A"/>
    <w:rsid w:val="000B069F"/>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621DD"/>
    <w:rsid w:val="001632EC"/>
    <w:rsid w:val="00167BEA"/>
    <w:rsid w:val="00171F21"/>
    <w:rsid w:val="001849E5"/>
    <w:rsid w:val="001934D9"/>
    <w:rsid w:val="001935FA"/>
    <w:rsid w:val="00196529"/>
    <w:rsid w:val="001A4E08"/>
    <w:rsid w:val="001B3D23"/>
    <w:rsid w:val="001B490B"/>
    <w:rsid w:val="001B64DA"/>
    <w:rsid w:val="001C3126"/>
    <w:rsid w:val="001D1836"/>
    <w:rsid w:val="001D21AA"/>
    <w:rsid w:val="001D74B2"/>
    <w:rsid w:val="001D7C3D"/>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4A39"/>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E5A7B"/>
    <w:rsid w:val="002E5F91"/>
    <w:rsid w:val="002E6468"/>
    <w:rsid w:val="002E6820"/>
    <w:rsid w:val="002E757E"/>
    <w:rsid w:val="002F16A4"/>
    <w:rsid w:val="002F18FC"/>
    <w:rsid w:val="002F3180"/>
    <w:rsid w:val="002F3346"/>
    <w:rsid w:val="002F6B1B"/>
    <w:rsid w:val="0030153A"/>
    <w:rsid w:val="00301F39"/>
    <w:rsid w:val="00302A7B"/>
    <w:rsid w:val="00303D65"/>
    <w:rsid w:val="00306003"/>
    <w:rsid w:val="0030655C"/>
    <w:rsid w:val="00306EDF"/>
    <w:rsid w:val="00311FDC"/>
    <w:rsid w:val="003134B3"/>
    <w:rsid w:val="0031390F"/>
    <w:rsid w:val="00316DC3"/>
    <w:rsid w:val="00320928"/>
    <w:rsid w:val="00325BFC"/>
    <w:rsid w:val="00331E8E"/>
    <w:rsid w:val="00336AE4"/>
    <w:rsid w:val="00336DBA"/>
    <w:rsid w:val="00341D70"/>
    <w:rsid w:val="0034226A"/>
    <w:rsid w:val="00342C37"/>
    <w:rsid w:val="00343017"/>
    <w:rsid w:val="00355E21"/>
    <w:rsid w:val="00362101"/>
    <w:rsid w:val="003645A8"/>
    <w:rsid w:val="0036701C"/>
    <w:rsid w:val="00376416"/>
    <w:rsid w:val="00391515"/>
    <w:rsid w:val="00393043"/>
    <w:rsid w:val="0039454D"/>
    <w:rsid w:val="003B1723"/>
    <w:rsid w:val="003B2A1E"/>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9F6"/>
    <w:rsid w:val="00441DA1"/>
    <w:rsid w:val="00444F95"/>
    <w:rsid w:val="00463B5B"/>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28DC"/>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4625A"/>
    <w:rsid w:val="00551751"/>
    <w:rsid w:val="0055435B"/>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5E26"/>
    <w:rsid w:val="0066671E"/>
    <w:rsid w:val="00670AEE"/>
    <w:rsid w:val="00673166"/>
    <w:rsid w:val="00673954"/>
    <w:rsid w:val="00681848"/>
    <w:rsid w:val="006917F4"/>
    <w:rsid w:val="00691868"/>
    <w:rsid w:val="006975C4"/>
    <w:rsid w:val="006A085B"/>
    <w:rsid w:val="006A1AC5"/>
    <w:rsid w:val="006A7CF0"/>
    <w:rsid w:val="006B1791"/>
    <w:rsid w:val="006B37FB"/>
    <w:rsid w:val="006B6770"/>
    <w:rsid w:val="006C0128"/>
    <w:rsid w:val="006C7EE5"/>
    <w:rsid w:val="006D7342"/>
    <w:rsid w:val="006E391F"/>
    <w:rsid w:val="006E47D5"/>
    <w:rsid w:val="006E665D"/>
    <w:rsid w:val="006E7A2E"/>
    <w:rsid w:val="006F0C7A"/>
    <w:rsid w:val="006F2B2B"/>
    <w:rsid w:val="006F373D"/>
    <w:rsid w:val="006F3E47"/>
    <w:rsid w:val="006F546A"/>
    <w:rsid w:val="00702FC5"/>
    <w:rsid w:val="00710FE6"/>
    <w:rsid w:val="00711CCE"/>
    <w:rsid w:val="00713D98"/>
    <w:rsid w:val="00735812"/>
    <w:rsid w:val="00736D0B"/>
    <w:rsid w:val="00737D55"/>
    <w:rsid w:val="00741CE7"/>
    <w:rsid w:val="00744E94"/>
    <w:rsid w:val="007456E8"/>
    <w:rsid w:val="00750D45"/>
    <w:rsid w:val="00753C4A"/>
    <w:rsid w:val="007554CA"/>
    <w:rsid w:val="00755C64"/>
    <w:rsid w:val="00756022"/>
    <w:rsid w:val="00756256"/>
    <w:rsid w:val="0075701D"/>
    <w:rsid w:val="00760187"/>
    <w:rsid w:val="00760D73"/>
    <w:rsid w:val="00764DB6"/>
    <w:rsid w:val="00787E33"/>
    <w:rsid w:val="00791EF7"/>
    <w:rsid w:val="00793901"/>
    <w:rsid w:val="00795873"/>
    <w:rsid w:val="007A3C4A"/>
    <w:rsid w:val="007A6E89"/>
    <w:rsid w:val="007B18C2"/>
    <w:rsid w:val="007B451D"/>
    <w:rsid w:val="007D0E1E"/>
    <w:rsid w:val="007E0864"/>
    <w:rsid w:val="007E67EA"/>
    <w:rsid w:val="007E6B61"/>
    <w:rsid w:val="007E7F45"/>
    <w:rsid w:val="007F0995"/>
    <w:rsid w:val="007F1CAD"/>
    <w:rsid w:val="007F2142"/>
    <w:rsid w:val="007F3AC5"/>
    <w:rsid w:val="007F3F48"/>
    <w:rsid w:val="007F46FD"/>
    <w:rsid w:val="007F6D44"/>
    <w:rsid w:val="008029AA"/>
    <w:rsid w:val="008062BF"/>
    <w:rsid w:val="00807697"/>
    <w:rsid w:val="00816258"/>
    <w:rsid w:val="00817132"/>
    <w:rsid w:val="00820458"/>
    <w:rsid w:val="00821910"/>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568A7"/>
    <w:rsid w:val="00861991"/>
    <w:rsid w:val="00862119"/>
    <w:rsid w:val="0086243E"/>
    <w:rsid w:val="008676B6"/>
    <w:rsid w:val="00875D2C"/>
    <w:rsid w:val="00875F46"/>
    <w:rsid w:val="00876542"/>
    <w:rsid w:val="008915DE"/>
    <w:rsid w:val="00891BEE"/>
    <w:rsid w:val="008934BB"/>
    <w:rsid w:val="008948C0"/>
    <w:rsid w:val="008970E3"/>
    <w:rsid w:val="008A250A"/>
    <w:rsid w:val="008A3B37"/>
    <w:rsid w:val="008A6215"/>
    <w:rsid w:val="008B5B6F"/>
    <w:rsid w:val="008C466E"/>
    <w:rsid w:val="008C6617"/>
    <w:rsid w:val="008C6AB2"/>
    <w:rsid w:val="008D5610"/>
    <w:rsid w:val="008E079F"/>
    <w:rsid w:val="008E399F"/>
    <w:rsid w:val="008E5B3C"/>
    <w:rsid w:val="008F064A"/>
    <w:rsid w:val="00901733"/>
    <w:rsid w:val="00916D17"/>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D3ABE"/>
    <w:rsid w:val="009E1DE7"/>
    <w:rsid w:val="009F6A07"/>
    <w:rsid w:val="00A036F8"/>
    <w:rsid w:val="00A03E9F"/>
    <w:rsid w:val="00A058BE"/>
    <w:rsid w:val="00A1181E"/>
    <w:rsid w:val="00A12392"/>
    <w:rsid w:val="00A1374E"/>
    <w:rsid w:val="00A15127"/>
    <w:rsid w:val="00A17C01"/>
    <w:rsid w:val="00A20763"/>
    <w:rsid w:val="00A23AA2"/>
    <w:rsid w:val="00A25F07"/>
    <w:rsid w:val="00A33704"/>
    <w:rsid w:val="00A40869"/>
    <w:rsid w:val="00A458A5"/>
    <w:rsid w:val="00A4769C"/>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E7615"/>
    <w:rsid w:val="00AF4EE0"/>
    <w:rsid w:val="00AF5A67"/>
    <w:rsid w:val="00B024A0"/>
    <w:rsid w:val="00B03764"/>
    <w:rsid w:val="00B03FBE"/>
    <w:rsid w:val="00B12BCD"/>
    <w:rsid w:val="00B22EA9"/>
    <w:rsid w:val="00B24E07"/>
    <w:rsid w:val="00B25E0A"/>
    <w:rsid w:val="00B3155F"/>
    <w:rsid w:val="00B3229F"/>
    <w:rsid w:val="00B33807"/>
    <w:rsid w:val="00B3525B"/>
    <w:rsid w:val="00B36F52"/>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D6E54"/>
    <w:rsid w:val="00CE12EE"/>
    <w:rsid w:val="00CE6E2D"/>
    <w:rsid w:val="00CF64BE"/>
    <w:rsid w:val="00D038C7"/>
    <w:rsid w:val="00D16A6F"/>
    <w:rsid w:val="00D21EA7"/>
    <w:rsid w:val="00D355FB"/>
    <w:rsid w:val="00D35E46"/>
    <w:rsid w:val="00D37670"/>
    <w:rsid w:val="00D3767E"/>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A285A"/>
    <w:rsid w:val="00DB3D8D"/>
    <w:rsid w:val="00DB4E0D"/>
    <w:rsid w:val="00DB5A7D"/>
    <w:rsid w:val="00DC2E5F"/>
    <w:rsid w:val="00DC3FA1"/>
    <w:rsid w:val="00DD2B5D"/>
    <w:rsid w:val="00DE1A86"/>
    <w:rsid w:val="00DE786F"/>
    <w:rsid w:val="00DF3EB7"/>
    <w:rsid w:val="00DF4AAE"/>
    <w:rsid w:val="00DF5B02"/>
    <w:rsid w:val="00E0028E"/>
    <w:rsid w:val="00E01AEF"/>
    <w:rsid w:val="00E045CA"/>
    <w:rsid w:val="00E107FD"/>
    <w:rsid w:val="00E123D2"/>
    <w:rsid w:val="00E162DC"/>
    <w:rsid w:val="00E17AA9"/>
    <w:rsid w:val="00E215A1"/>
    <w:rsid w:val="00E23DF5"/>
    <w:rsid w:val="00E26695"/>
    <w:rsid w:val="00E266A8"/>
    <w:rsid w:val="00E31D0E"/>
    <w:rsid w:val="00E33FFE"/>
    <w:rsid w:val="00E37343"/>
    <w:rsid w:val="00E42BA3"/>
    <w:rsid w:val="00E43CA1"/>
    <w:rsid w:val="00E446DB"/>
    <w:rsid w:val="00E47CF6"/>
    <w:rsid w:val="00E54656"/>
    <w:rsid w:val="00E6148A"/>
    <w:rsid w:val="00E62395"/>
    <w:rsid w:val="00E66442"/>
    <w:rsid w:val="00E67BF0"/>
    <w:rsid w:val="00E71DB8"/>
    <w:rsid w:val="00E72EE9"/>
    <w:rsid w:val="00E75B8B"/>
    <w:rsid w:val="00E75D46"/>
    <w:rsid w:val="00E76CDC"/>
    <w:rsid w:val="00E86FD0"/>
    <w:rsid w:val="00E91843"/>
    <w:rsid w:val="00E92566"/>
    <w:rsid w:val="00EA7B3C"/>
    <w:rsid w:val="00EB677D"/>
    <w:rsid w:val="00EB6D3E"/>
    <w:rsid w:val="00EB76D3"/>
    <w:rsid w:val="00EC04F4"/>
    <w:rsid w:val="00EC29ED"/>
    <w:rsid w:val="00EC4AA3"/>
    <w:rsid w:val="00EC7BCC"/>
    <w:rsid w:val="00EC7C06"/>
    <w:rsid w:val="00EC7C5D"/>
    <w:rsid w:val="00EC7D4B"/>
    <w:rsid w:val="00ED3016"/>
    <w:rsid w:val="00ED511C"/>
    <w:rsid w:val="00ED52D8"/>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6B98"/>
    <w:rsid w:val="00F33D9C"/>
    <w:rsid w:val="00F35EAA"/>
    <w:rsid w:val="00F407D5"/>
    <w:rsid w:val="00F40F5D"/>
    <w:rsid w:val="00F4111A"/>
    <w:rsid w:val="00F451D6"/>
    <w:rsid w:val="00F51663"/>
    <w:rsid w:val="00F518BE"/>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4156"/>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124FA1A-D494-490D-B6EE-6BA9FDD1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 w:type="paragraph" w:customStyle="1" w:styleId="3GPPText">
    <w:name w:val="3GPP Text"/>
    <w:basedOn w:val="a0"/>
    <w:link w:val="3GPPTextChar"/>
    <w:qFormat/>
    <w:rsid w:val="008E079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ascii="Times New Roman" w:hAnsi="Times New Roman"/>
      <w:sz w:val="22"/>
      <w:szCs w:val="20"/>
      <w:lang w:val="en-US" w:eastAsia="en-US"/>
    </w:rPr>
  </w:style>
  <w:style w:type="character" w:customStyle="1" w:styleId="3GPPTextChar">
    <w:name w:val="3GPP Text Char"/>
    <w:link w:val="3GPPText"/>
    <w:qFormat/>
    <w:rsid w:val="008E079F"/>
    <w:rPr>
      <w:sz w:val="22"/>
      <w:szCs w:val="20"/>
      <w:lang w:eastAsia="en-US"/>
    </w:rPr>
  </w:style>
  <w:style w:type="character" w:customStyle="1" w:styleId="B3Char">
    <w:name w:val="B3 Char"/>
    <w:qFormat/>
    <w:rsid w:val="000773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1127</Words>
  <Characters>6424</Characters>
  <Application>Microsoft Office Word</Application>
  <DocSecurity>0</DocSecurity>
  <Lines>53</Lines>
  <Paragraphs>15</Paragraphs>
  <ScaleCrop>false</ScaleCrop>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6</cp:revision>
  <dcterms:created xsi:type="dcterms:W3CDTF">2024-01-03T05:06:00Z</dcterms:created>
  <dcterms:modified xsi:type="dcterms:W3CDTF">2024-02-19T05:59:00Z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